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71DF6" w14:textId="77777777" w:rsidR="00863085" w:rsidRDefault="00863085" w:rsidP="00863085">
      <w:pPr>
        <w:jc w:val="center"/>
        <w:rPr>
          <w:rFonts w:asciiTheme="minorHAnsi" w:hAnsiTheme="minorHAnsi" w:cstheme="minorBidi"/>
          <w:b/>
          <w:sz w:val="36"/>
          <w:szCs w:val="36"/>
        </w:rPr>
      </w:pPr>
      <w:r w:rsidRPr="00863085">
        <w:rPr>
          <w:rFonts w:asciiTheme="minorHAnsi" w:hAnsiTheme="minorHAnsi" w:cstheme="minorBidi"/>
          <w:b/>
          <w:sz w:val="36"/>
          <w:szCs w:val="36"/>
        </w:rPr>
        <w:t>Request for Proposal</w:t>
      </w:r>
    </w:p>
    <w:p w14:paraId="26553F4F" w14:textId="77777777" w:rsidR="003B6912" w:rsidRDefault="003B6912" w:rsidP="00863085">
      <w:pPr>
        <w:jc w:val="center"/>
        <w:rPr>
          <w:rFonts w:asciiTheme="minorHAnsi" w:hAnsiTheme="minorHAnsi" w:cstheme="minorBidi"/>
          <w:b/>
          <w:sz w:val="36"/>
          <w:szCs w:val="36"/>
        </w:rPr>
      </w:pPr>
    </w:p>
    <w:p w14:paraId="2F6A847B" w14:textId="77777777" w:rsidR="003B6912" w:rsidRDefault="003B6912" w:rsidP="00863085">
      <w:pPr>
        <w:jc w:val="center"/>
        <w:rPr>
          <w:rFonts w:asciiTheme="minorHAnsi" w:hAnsiTheme="minorHAnsi" w:cstheme="minorBidi"/>
          <w:b/>
          <w:sz w:val="36"/>
          <w:szCs w:val="36"/>
        </w:rPr>
      </w:pPr>
      <w:r>
        <w:rPr>
          <w:rFonts w:asciiTheme="minorHAnsi" w:hAnsiTheme="minorHAnsi" w:cstheme="minorBidi"/>
          <w:b/>
          <w:sz w:val="36"/>
          <w:szCs w:val="36"/>
        </w:rPr>
        <w:t xml:space="preserve">Response is Due </w:t>
      </w:r>
    </w:p>
    <w:p w14:paraId="246920CD" w14:textId="77777777" w:rsidR="003B6912" w:rsidRDefault="003B6912" w:rsidP="00863085">
      <w:pPr>
        <w:jc w:val="center"/>
        <w:rPr>
          <w:rFonts w:asciiTheme="minorHAnsi" w:hAnsiTheme="minorHAnsi" w:cstheme="minorBidi"/>
          <w:b/>
          <w:sz w:val="36"/>
          <w:szCs w:val="36"/>
        </w:rPr>
      </w:pPr>
      <w:r>
        <w:rPr>
          <w:rFonts w:asciiTheme="minorHAnsi" w:hAnsiTheme="minorHAnsi" w:cstheme="minorBidi"/>
          <w:b/>
          <w:sz w:val="36"/>
          <w:szCs w:val="36"/>
        </w:rPr>
        <w:t>Tuesday, June 1, 2021</w:t>
      </w:r>
    </w:p>
    <w:p w14:paraId="701C2233" w14:textId="77777777" w:rsidR="003B6912" w:rsidRPr="00863085" w:rsidRDefault="003B6912" w:rsidP="00863085">
      <w:pPr>
        <w:jc w:val="center"/>
        <w:rPr>
          <w:rFonts w:asciiTheme="minorHAnsi" w:hAnsiTheme="minorHAnsi" w:cstheme="minorBidi"/>
          <w:b/>
          <w:sz w:val="36"/>
          <w:szCs w:val="36"/>
        </w:rPr>
      </w:pPr>
      <w:r>
        <w:rPr>
          <w:rFonts w:asciiTheme="minorHAnsi" w:hAnsiTheme="minorHAnsi" w:cstheme="minorBidi"/>
          <w:b/>
          <w:sz w:val="36"/>
          <w:szCs w:val="36"/>
        </w:rPr>
        <w:t>5:00 pm</w:t>
      </w:r>
    </w:p>
    <w:p w14:paraId="0258F48B" w14:textId="77777777" w:rsidR="00863085" w:rsidRDefault="00863085" w:rsidP="00863085">
      <w:pPr>
        <w:pStyle w:val="Default"/>
        <w:rPr>
          <w:rFonts w:asciiTheme="minorHAnsi" w:hAnsiTheme="minorHAnsi" w:cstheme="minorBidi"/>
        </w:rPr>
      </w:pPr>
    </w:p>
    <w:p w14:paraId="29AA2F45" w14:textId="77777777" w:rsidR="00863085" w:rsidRPr="00863085" w:rsidRDefault="00863085" w:rsidP="0086308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63085">
        <w:rPr>
          <w:rFonts w:asciiTheme="minorHAnsi" w:hAnsiTheme="minorHAnsi" w:cstheme="minorBidi"/>
        </w:rPr>
        <w:t xml:space="preserve">Please see the information related to MSHDA EV vouchers.  The Muskegon County Homeless Continuum of Care must select a service provider to support the  17  vouchers that are allocated to our community.  We are asking if your Agency would be interested in providing </w:t>
      </w:r>
      <w:r w:rsidRPr="00863085">
        <w:rPr>
          <w:rFonts w:asciiTheme="minorHAnsi" w:hAnsiTheme="minorHAnsi" w:cstheme="minorHAnsi"/>
          <w:color w:val="auto"/>
        </w:rPr>
        <w:t>staffing support available to vouchers through first year following lease up.  The staff would be responsible for working with the CoC to select families/individuals for the housing from the Coordinated Entry lists of individuals/families waiting for housing.  In addition, the staff would:</w:t>
      </w:r>
    </w:p>
    <w:p w14:paraId="00E43B72" w14:textId="77777777" w:rsidR="00863085" w:rsidRPr="00863085" w:rsidRDefault="00863085" w:rsidP="00863085">
      <w:pPr>
        <w:pStyle w:val="Default"/>
        <w:rPr>
          <w:rFonts w:asciiTheme="minorHAnsi" w:hAnsiTheme="minorHAnsi" w:cstheme="minorHAnsi"/>
          <w:color w:val="auto"/>
        </w:rPr>
      </w:pPr>
    </w:p>
    <w:p w14:paraId="4EC93292" w14:textId="77777777" w:rsidR="00863085" w:rsidRPr="00863085" w:rsidRDefault="00863085" w:rsidP="003B6912">
      <w:pPr>
        <w:pStyle w:val="NoSpacing"/>
        <w:numPr>
          <w:ilvl w:val="0"/>
          <w:numId w:val="5"/>
        </w:numPr>
      </w:pPr>
      <w:r w:rsidRPr="00863085">
        <w:t>Attend start-up meetings with CoC/LPB and Housing Agent</w:t>
      </w:r>
    </w:p>
    <w:p w14:paraId="17A5E0B0" w14:textId="77777777" w:rsidR="00863085" w:rsidRPr="00863085" w:rsidRDefault="00863085" w:rsidP="003B6912">
      <w:pPr>
        <w:pStyle w:val="NoSpacing"/>
        <w:numPr>
          <w:ilvl w:val="0"/>
          <w:numId w:val="5"/>
        </w:numPr>
      </w:pPr>
      <w:r w:rsidRPr="00863085">
        <w:t>Commit resources to assist households with application process and case management</w:t>
      </w:r>
    </w:p>
    <w:p w14:paraId="51A9701E" w14:textId="77777777" w:rsidR="00863085" w:rsidRPr="00863085" w:rsidRDefault="00863085" w:rsidP="003B6912">
      <w:pPr>
        <w:pStyle w:val="NoSpacing"/>
        <w:numPr>
          <w:ilvl w:val="0"/>
          <w:numId w:val="5"/>
        </w:numPr>
      </w:pPr>
      <w:r w:rsidRPr="00863085">
        <w:t>Connect households with available mainstream benefits</w:t>
      </w:r>
    </w:p>
    <w:p w14:paraId="6C3F00DE" w14:textId="77777777" w:rsidR="00863085" w:rsidRPr="00863085" w:rsidRDefault="00863085" w:rsidP="003B6912">
      <w:pPr>
        <w:pStyle w:val="NoSpacing"/>
        <w:numPr>
          <w:ilvl w:val="0"/>
          <w:numId w:val="5"/>
        </w:numPr>
      </w:pPr>
      <w:r w:rsidRPr="00863085">
        <w:t>Secure eligible funds for security deposits (i.e. ESG-CV, SER)</w:t>
      </w:r>
    </w:p>
    <w:p w14:paraId="481139E9" w14:textId="77777777" w:rsidR="00863085" w:rsidRPr="00863085" w:rsidRDefault="00863085" w:rsidP="003B6912">
      <w:pPr>
        <w:pStyle w:val="NoSpacing"/>
        <w:numPr>
          <w:ilvl w:val="0"/>
          <w:numId w:val="5"/>
        </w:numPr>
      </w:pPr>
      <w:r w:rsidRPr="00863085">
        <w:t>Conduct owner outreach</w:t>
      </w:r>
    </w:p>
    <w:p w14:paraId="57E783D3" w14:textId="77777777" w:rsidR="00863085" w:rsidRPr="00863085" w:rsidRDefault="00863085" w:rsidP="003B6912">
      <w:pPr>
        <w:pStyle w:val="NoSpacing"/>
        <w:numPr>
          <w:ilvl w:val="0"/>
          <w:numId w:val="5"/>
        </w:numPr>
      </w:pPr>
      <w:r w:rsidRPr="00863085">
        <w:t>Documentation support for the individuals/families seeking housing</w:t>
      </w:r>
    </w:p>
    <w:p w14:paraId="67B909DF" w14:textId="77777777" w:rsidR="00863085" w:rsidRPr="00863085" w:rsidRDefault="00863085" w:rsidP="003B6912">
      <w:pPr>
        <w:pStyle w:val="NoSpacing"/>
        <w:numPr>
          <w:ilvl w:val="0"/>
          <w:numId w:val="5"/>
        </w:numPr>
      </w:pPr>
      <w:r w:rsidRPr="00863085">
        <w:t>Housing Search</w:t>
      </w:r>
    </w:p>
    <w:p w14:paraId="40BC9025" w14:textId="77777777" w:rsidR="00863085" w:rsidRPr="00863085" w:rsidRDefault="00863085" w:rsidP="003B6912">
      <w:pPr>
        <w:pStyle w:val="NoSpacing"/>
        <w:numPr>
          <w:ilvl w:val="0"/>
          <w:numId w:val="5"/>
        </w:numPr>
      </w:pPr>
      <w:r w:rsidRPr="00863085">
        <w:t>Owner Engagement</w:t>
      </w:r>
    </w:p>
    <w:p w14:paraId="1CF2B702" w14:textId="77777777" w:rsidR="00863085" w:rsidRPr="00863085" w:rsidRDefault="00863085" w:rsidP="00863085">
      <w:pPr>
        <w:pStyle w:val="Default"/>
      </w:pPr>
    </w:p>
    <w:p w14:paraId="266379DB" w14:textId="77777777" w:rsidR="00863085" w:rsidRPr="00863085" w:rsidRDefault="00863085" w:rsidP="00863085">
      <w:pPr>
        <w:pStyle w:val="Default"/>
        <w:rPr>
          <w:rFonts w:asciiTheme="minorHAnsi" w:hAnsiTheme="minorHAnsi" w:cstheme="minorHAnsi"/>
          <w:color w:val="auto"/>
        </w:rPr>
      </w:pPr>
      <w:r w:rsidRPr="00863085">
        <w:rPr>
          <w:rFonts w:asciiTheme="minorHAnsi" w:hAnsiTheme="minorHAnsi" w:cstheme="minorHAnsi"/>
          <w:color w:val="auto"/>
        </w:rPr>
        <w:t>There is $35,700.00 for case management and $15,300 for financial assistance that includes:</w:t>
      </w:r>
    </w:p>
    <w:p w14:paraId="51468DE4" w14:textId="77777777" w:rsidR="00863085" w:rsidRPr="00863085" w:rsidRDefault="00863085" w:rsidP="00863085">
      <w:pPr>
        <w:pStyle w:val="Default"/>
        <w:rPr>
          <w:rFonts w:asciiTheme="minorHAnsi" w:hAnsiTheme="minorHAnsi" w:cstheme="minorHAnsi"/>
          <w:color w:val="auto"/>
        </w:rPr>
      </w:pPr>
    </w:p>
    <w:p w14:paraId="1ABE3AAC" w14:textId="77777777" w:rsidR="00863085" w:rsidRPr="00863085" w:rsidRDefault="00863085" w:rsidP="003B6912">
      <w:pPr>
        <w:pStyle w:val="NoSpacing"/>
        <w:numPr>
          <w:ilvl w:val="0"/>
          <w:numId w:val="6"/>
        </w:numPr>
      </w:pPr>
      <w:r w:rsidRPr="00863085">
        <w:t>Application Fees</w:t>
      </w:r>
    </w:p>
    <w:p w14:paraId="0EDD9FF8" w14:textId="77777777" w:rsidR="00863085" w:rsidRPr="00863085" w:rsidRDefault="00863085" w:rsidP="003B6912">
      <w:pPr>
        <w:pStyle w:val="NoSpacing"/>
        <w:numPr>
          <w:ilvl w:val="0"/>
          <w:numId w:val="6"/>
        </w:numPr>
      </w:pPr>
      <w:r w:rsidRPr="00863085">
        <w:t>Rental Insurance</w:t>
      </w:r>
    </w:p>
    <w:p w14:paraId="674EAB82" w14:textId="77777777" w:rsidR="00863085" w:rsidRPr="00863085" w:rsidRDefault="00863085" w:rsidP="003B6912">
      <w:pPr>
        <w:pStyle w:val="NoSpacing"/>
        <w:numPr>
          <w:ilvl w:val="0"/>
          <w:numId w:val="6"/>
        </w:numPr>
      </w:pPr>
      <w:r w:rsidRPr="00863085">
        <w:t>Utility Hook-Up Fees and Deposits</w:t>
      </w:r>
    </w:p>
    <w:p w14:paraId="50167FD4" w14:textId="77777777" w:rsidR="00863085" w:rsidRPr="00863085" w:rsidRDefault="00863085" w:rsidP="003B6912">
      <w:pPr>
        <w:pStyle w:val="NoSpacing"/>
        <w:numPr>
          <w:ilvl w:val="0"/>
          <w:numId w:val="6"/>
        </w:numPr>
      </w:pPr>
      <w:r w:rsidRPr="00863085">
        <w:t>Furnishings and Moving Costs</w:t>
      </w:r>
    </w:p>
    <w:p w14:paraId="0A32CD8C" w14:textId="77777777" w:rsidR="00863085" w:rsidRPr="00863085" w:rsidRDefault="00863085" w:rsidP="003B6912">
      <w:pPr>
        <w:pStyle w:val="NoSpacing"/>
      </w:pPr>
    </w:p>
    <w:p w14:paraId="5A042C0E" w14:textId="77777777" w:rsidR="00863085" w:rsidRPr="00863085" w:rsidRDefault="003B6912" w:rsidP="00863085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*****</w:t>
      </w:r>
      <w:r w:rsidR="00863085" w:rsidRPr="00863085">
        <w:rPr>
          <w:rFonts w:asciiTheme="minorHAnsi" w:hAnsiTheme="minorHAnsi" w:cstheme="minorHAnsi"/>
          <w:color w:val="auto"/>
        </w:rPr>
        <w:t>Preference will be given to agencies with case management staff hired through the ESG-COV funds as indicated by MSHDA</w:t>
      </w:r>
    </w:p>
    <w:p w14:paraId="6D1AF7C4" w14:textId="77777777" w:rsidR="00863085" w:rsidRPr="00863085" w:rsidRDefault="00863085" w:rsidP="00863085">
      <w:pPr>
        <w:pStyle w:val="Default"/>
        <w:rPr>
          <w:rFonts w:asciiTheme="minorHAnsi" w:hAnsiTheme="minorHAnsi" w:cstheme="minorHAnsi"/>
          <w:color w:val="auto"/>
        </w:rPr>
      </w:pPr>
    </w:p>
    <w:p w14:paraId="3E9FFC82" w14:textId="77777777" w:rsidR="00BE01E5" w:rsidRPr="00863085" w:rsidRDefault="00863085" w:rsidP="003B69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respond with your interest in providing this service including as short description of </w:t>
      </w:r>
      <w:r w:rsidR="003B6912">
        <w:rPr>
          <w:sz w:val="24"/>
          <w:szCs w:val="24"/>
        </w:rPr>
        <w:t>y</w:t>
      </w:r>
      <w:r>
        <w:rPr>
          <w:sz w:val="24"/>
          <w:szCs w:val="24"/>
        </w:rPr>
        <w:t>our experience in case management for homeless individuals and successful placement in housing as well as whether your agency was funded through the ESG-COV funds for staffing.</w:t>
      </w:r>
      <w:r w:rsidR="003B6912">
        <w:rPr>
          <w:sz w:val="24"/>
          <w:szCs w:val="24"/>
        </w:rPr>
        <w:t xml:space="preserve">  The response is due on June 1, </w:t>
      </w:r>
      <w:proofErr w:type="gramStart"/>
      <w:r w:rsidR="003B6912">
        <w:rPr>
          <w:sz w:val="24"/>
          <w:szCs w:val="24"/>
        </w:rPr>
        <w:t>2021</w:t>
      </w:r>
      <w:proofErr w:type="gramEnd"/>
      <w:r w:rsidR="003B6912">
        <w:rPr>
          <w:sz w:val="24"/>
          <w:szCs w:val="24"/>
        </w:rPr>
        <w:t xml:space="preserve"> by 5 pm in order for the Review Committee to meet, submit its recommendations to the Executive Committee and have a MOU signed to be sent to MSHDA by June 11, 2021</w:t>
      </w:r>
    </w:p>
    <w:sectPr w:rsidR="00BE01E5" w:rsidRPr="00863085" w:rsidSect="0082700F">
      <w:pgSz w:w="12240" w:h="15840"/>
      <w:pgMar w:top="1440" w:right="1800" w:bottom="1440" w:left="180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91ABD"/>
    <w:multiLevelType w:val="hybridMultilevel"/>
    <w:tmpl w:val="7C82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B67A1"/>
    <w:multiLevelType w:val="hybridMultilevel"/>
    <w:tmpl w:val="BD50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62C90"/>
    <w:multiLevelType w:val="hybridMultilevel"/>
    <w:tmpl w:val="9D1A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54699"/>
    <w:multiLevelType w:val="hybridMultilevel"/>
    <w:tmpl w:val="3432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65A25"/>
    <w:multiLevelType w:val="hybridMultilevel"/>
    <w:tmpl w:val="D340FCA2"/>
    <w:lvl w:ilvl="0" w:tplc="519095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122670">
    <w:abstractNumId w:val="0"/>
  </w:num>
  <w:num w:numId="2" w16cid:durableId="1003823739">
    <w:abstractNumId w:val="4"/>
  </w:num>
  <w:num w:numId="3" w16cid:durableId="893732589">
    <w:abstractNumId w:val="0"/>
  </w:num>
  <w:num w:numId="4" w16cid:durableId="439758390">
    <w:abstractNumId w:val="1"/>
  </w:num>
  <w:num w:numId="5" w16cid:durableId="994921307">
    <w:abstractNumId w:val="2"/>
  </w:num>
  <w:num w:numId="6" w16cid:durableId="1803494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85"/>
    <w:rsid w:val="00006841"/>
    <w:rsid w:val="000312BA"/>
    <w:rsid w:val="00051C6C"/>
    <w:rsid w:val="003B6912"/>
    <w:rsid w:val="003E5D66"/>
    <w:rsid w:val="0082700F"/>
    <w:rsid w:val="00863085"/>
    <w:rsid w:val="00AD7A7E"/>
    <w:rsid w:val="00CE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10629"/>
  <w15:chartTrackingRefBased/>
  <w15:docId w15:val="{14166EF4-E21B-4310-BE51-6CB1BC1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08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3085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rsid w:val="003B691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M. Kell</dc:creator>
  <cp:keywords/>
  <dc:description/>
  <cp:lastModifiedBy>Miranda Paggeot</cp:lastModifiedBy>
  <cp:revision>2</cp:revision>
  <dcterms:created xsi:type="dcterms:W3CDTF">2023-01-17T19:02:00Z</dcterms:created>
  <dcterms:modified xsi:type="dcterms:W3CDTF">2023-01-17T19:02:00Z</dcterms:modified>
</cp:coreProperties>
</file>