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FB7" w:rsidRDefault="001F7FB7" w:rsidP="001F7FB7">
      <w:pPr>
        <w:jc w:val="center"/>
        <w:rPr>
          <w:rFonts w:ascii="Arial" w:hAnsi="Arial" w:cs="Arial"/>
          <w:b/>
          <w:sz w:val="28"/>
          <w:szCs w:val="28"/>
        </w:rPr>
      </w:pPr>
      <w:bookmarkStart w:id="0" w:name="_GoBack"/>
      <w:bookmarkEnd w:id="0"/>
      <w:r>
        <w:rPr>
          <w:rFonts w:ascii="Arial" w:hAnsi="Arial" w:cs="Arial"/>
          <w:b/>
          <w:sz w:val="28"/>
          <w:szCs w:val="28"/>
        </w:rPr>
        <w:t>Muskegon County Homeless Continuum of Care Network</w:t>
      </w:r>
    </w:p>
    <w:p w:rsidR="001F7FB7" w:rsidRDefault="001F7FB7" w:rsidP="001F7FB7">
      <w:pPr>
        <w:jc w:val="center"/>
        <w:rPr>
          <w:rFonts w:ascii="Arial" w:hAnsi="Arial" w:cs="Arial"/>
          <w:sz w:val="28"/>
          <w:szCs w:val="28"/>
        </w:rPr>
      </w:pPr>
      <w:r w:rsidRPr="00425836">
        <w:rPr>
          <w:rFonts w:ascii="Arial" w:hAnsi="Arial" w:cs="Arial"/>
          <w:noProof/>
          <w:sz w:val="28"/>
          <w:szCs w:val="28"/>
        </w:rPr>
        <w:drawing>
          <wp:anchor distT="0" distB="0" distL="114300" distR="114300" simplePos="0" relativeHeight="251659264" behindDoc="1" locked="0" layoutInCell="1" allowOverlap="1" wp14:anchorId="1E0C10EC" wp14:editId="4FF1FA63">
            <wp:simplePos x="0" y="0"/>
            <wp:positionH relativeFrom="margin">
              <wp:posOffset>-621102</wp:posOffset>
            </wp:positionH>
            <wp:positionV relativeFrom="margin">
              <wp:posOffset>-483079</wp:posOffset>
            </wp:positionV>
            <wp:extent cx="897147" cy="897147"/>
            <wp:effectExtent l="0" t="0" r="0" b="0"/>
            <wp:wrapNone/>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4wsd0mj%5b1%5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7544" cy="8975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5836">
        <w:rPr>
          <w:rFonts w:ascii="Arial" w:hAnsi="Arial" w:cs="Arial"/>
          <w:sz w:val="28"/>
          <w:szCs w:val="28"/>
        </w:rPr>
        <w:t>MI-516 Norton Shores, City of Muskegon &amp; County CoC</w:t>
      </w:r>
    </w:p>
    <w:p w:rsidR="001F7FB7" w:rsidRDefault="001F7FB7" w:rsidP="001F7FB7">
      <w:pPr>
        <w:jc w:val="center"/>
        <w:rPr>
          <w:rFonts w:ascii="Arial" w:hAnsi="Arial" w:cs="Arial"/>
          <w:b/>
          <w:sz w:val="28"/>
          <w:szCs w:val="28"/>
        </w:rPr>
      </w:pPr>
      <w:r>
        <w:rPr>
          <w:rFonts w:ascii="Arial" w:hAnsi="Arial" w:cs="Arial"/>
          <w:b/>
          <w:sz w:val="28"/>
          <w:szCs w:val="28"/>
        </w:rPr>
        <w:t>HUD NOFA ANNOUCEMENT and RE-ALLOCATION PROCESS</w:t>
      </w:r>
    </w:p>
    <w:p w:rsidR="001F7FB7" w:rsidRDefault="001F7FB7" w:rsidP="001F7FB7">
      <w:pPr>
        <w:rPr>
          <w:rFonts w:ascii="Arial" w:hAnsi="Arial" w:cs="Arial"/>
          <w:b/>
          <w:sz w:val="28"/>
          <w:szCs w:val="28"/>
        </w:rPr>
      </w:pPr>
    </w:p>
    <w:p w:rsidR="001F7FB7" w:rsidRDefault="001F7FB7" w:rsidP="001F7FB7">
      <w:pPr>
        <w:rPr>
          <w:rFonts w:ascii="Arial" w:hAnsi="Arial" w:cs="Arial"/>
        </w:rPr>
      </w:pPr>
      <w:r>
        <w:rPr>
          <w:rFonts w:ascii="Arial" w:hAnsi="Arial" w:cs="Arial"/>
        </w:rPr>
        <w:t>HUD has released a Notice of Funding Availability for the 2015 Continuum of Care Program Competition.  Please see the funding that is listed on the Grant Inventory Worksheet:</w:t>
      </w:r>
    </w:p>
    <w:p w:rsidR="001F7FB7" w:rsidRDefault="001F7FB7" w:rsidP="001F7FB7">
      <w:pPr>
        <w:pStyle w:val="ListParagraph"/>
        <w:numPr>
          <w:ilvl w:val="0"/>
          <w:numId w:val="1"/>
        </w:numPr>
        <w:rPr>
          <w:rFonts w:ascii="Arial" w:hAnsi="Arial" w:cs="Arial"/>
        </w:rPr>
      </w:pPr>
      <w:r>
        <w:rPr>
          <w:rFonts w:ascii="Arial" w:hAnsi="Arial" w:cs="Arial"/>
        </w:rPr>
        <w:t>Health West</w:t>
      </w:r>
      <w:r>
        <w:rPr>
          <w:rFonts w:ascii="Arial" w:hAnsi="Arial" w:cs="Arial"/>
        </w:rPr>
        <w:tab/>
      </w:r>
      <w:r>
        <w:rPr>
          <w:rFonts w:ascii="Arial" w:hAnsi="Arial" w:cs="Arial"/>
        </w:rPr>
        <w:tab/>
      </w:r>
      <w:r>
        <w:rPr>
          <w:rFonts w:ascii="Arial" w:hAnsi="Arial" w:cs="Arial"/>
        </w:rPr>
        <w:tab/>
        <w:t>Samaritan</w:t>
      </w:r>
      <w:r>
        <w:rPr>
          <w:rFonts w:ascii="Arial" w:hAnsi="Arial" w:cs="Arial"/>
        </w:rPr>
        <w:tab/>
      </w:r>
      <w:r>
        <w:rPr>
          <w:rFonts w:ascii="Arial" w:hAnsi="Arial" w:cs="Arial"/>
        </w:rPr>
        <w:tab/>
      </w:r>
      <w:r>
        <w:rPr>
          <w:rFonts w:ascii="Arial" w:hAnsi="Arial" w:cs="Arial"/>
        </w:rPr>
        <w:tab/>
        <w:t>$23,803</w:t>
      </w:r>
    </w:p>
    <w:p w:rsidR="001F7FB7" w:rsidRDefault="001F7FB7" w:rsidP="001F7FB7">
      <w:pPr>
        <w:pStyle w:val="ListParagraph"/>
        <w:numPr>
          <w:ilvl w:val="0"/>
          <w:numId w:val="1"/>
        </w:numPr>
        <w:rPr>
          <w:rFonts w:ascii="Arial" w:hAnsi="Arial" w:cs="Arial"/>
        </w:rPr>
      </w:pPr>
      <w:r>
        <w:rPr>
          <w:rFonts w:ascii="Arial" w:hAnsi="Arial" w:cs="Arial"/>
        </w:rPr>
        <w:t>Health West</w:t>
      </w:r>
      <w:r>
        <w:rPr>
          <w:rFonts w:ascii="Arial" w:hAnsi="Arial" w:cs="Arial"/>
        </w:rPr>
        <w:tab/>
      </w:r>
      <w:r>
        <w:rPr>
          <w:rFonts w:ascii="Arial" w:hAnsi="Arial" w:cs="Arial"/>
        </w:rPr>
        <w:tab/>
      </w:r>
      <w:r>
        <w:rPr>
          <w:rFonts w:ascii="Arial" w:hAnsi="Arial" w:cs="Arial"/>
        </w:rPr>
        <w:tab/>
        <w:t>Supportive Housing I</w:t>
      </w:r>
      <w:r>
        <w:rPr>
          <w:rFonts w:ascii="Arial" w:hAnsi="Arial" w:cs="Arial"/>
        </w:rPr>
        <w:tab/>
      </w:r>
      <w:r>
        <w:rPr>
          <w:rFonts w:ascii="Arial" w:hAnsi="Arial" w:cs="Arial"/>
        </w:rPr>
        <w:tab/>
        <w:t>$116,023</w:t>
      </w:r>
    </w:p>
    <w:p w:rsidR="001F7FB7" w:rsidRDefault="001F7FB7" w:rsidP="001F7FB7">
      <w:pPr>
        <w:pStyle w:val="ListParagraph"/>
        <w:numPr>
          <w:ilvl w:val="0"/>
          <w:numId w:val="1"/>
        </w:numPr>
        <w:rPr>
          <w:rFonts w:ascii="Arial" w:hAnsi="Arial" w:cs="Arial"/>
        </w:rPr>
      </w:pPr>
      <w:r>
        <w:rPr>
          <w:rFonts w:ascii="Arial" w:hAnsi="Arial" w:cs="Arial"/>
        </w:rPr>
        <w:t>Health West</w:t>
      </w:r>
      <w:r>
        <w:rPr>
          <w:rFonts w:ascii="Arial" w:hAnsi="Arial" w:cs="Arial"/>
        </w:rPr>
        <w:tab/>
      </w:r>
      <w:r>
        <w:rPr>
          <w:rFonts w:ascii="Arial" w:hAnsi="Arial" w:cs="Arial"/>
        </w:rPr>
        <w:tab/>
      </w:r>
      <w:r>
        <w:rPr>
          <w:rFonts w:ascii="Arial" w:hAnsi="Arial" w:cs="Arial"/>
        </w:rPr>
        <w:tab/>
        <w:t>Supportive Housing II</w:t>
      </w:r>
      <w:r>
        <w:rPr>
          <w:rFonts w:ascii="Arial" w:hAnsi="Arial" w:cs="Arial"/>
        </w:rPr>
        <w:tab/>
      </w:r>
      <w:r>
        <w:rPr>
          <w:rFonts w:ascii="Arial" w:hAnsi="Arial" w:cs="Arial"/>
        </w:rPr>
        <w:tab/>
        <w:t>$18,689</w:t>
      </w:r>
    </w:p>
    <w:p w:rsidR="001F7FB7" w:rsidRDefault="001F7FB7" w:rsidP="001F7FB7">
      <w:pPr>
        <w:pStyle w:val="ListParagraph"/>
        <w:numPr>
          <w:ilvl w:val="0"/>
          <w:numId w:val="1"/>
        </w:numPr>
        <w:rPr>
          <w:rFonts w:ascii="Arial" w:hAnsi="Arial" w:cs="Arial"/>
        </w:rPr>
      </w:pPr>
      <w:r>
        <w:rPr>
          <w:rFonts w:ascii="Arial" w:hAnsi="Arial" w:cs="Arial"/>
        </w:rPr>
        <w:t>Health West</w:t>
      </w:r>
      <w:r>
        <w:rPr>
          <w:rFonts w:ascii="Arial" w:hAnsi="Arial" w:cs="Arial"/>
        </w:rPr>
        <w:tab/>
      </w:r>
      <w:r>
        <w:rPr>
          <w:rFonts w:ascii="Arial" w:hAnsi="Arial" w:cs="Arial"/>
        </w:rPr>
        <w:tab/>
      </w:r>
      <w:r>
        <w:rPr>
          <w:rFonts w:ascii="Arial" w:hAnsi="Arial" w:cs="Arial"/>
        </w:rPr>
        <w:tab/>
        <w:t>Supportive Housing IV</w:t>
      </w:r>
      <w:r>
        <w:rPr>
          <w:rFonts w:ascii="Arial" w:hAnsi="Arial" w:cs="Arial"/>
        </w:rPr>
        <w:tab/>
        <w:t>$23,849</w:t>
      </w:r>
    </w:p>
    <w:p w:rsidR="001F7FB7" w:rsidRDefault="001F7FB7" w:rsidP="001F7FB7">
      <w:pPr>
        <w:pStyle w:val="ListParagraph"/>
        <w:numPr>
          <w:ilvl w:val="0"/>
          <w:numId w:val="1"/>
        </w:numPr>
        <w:rPr>
          <w:rFonts w:ascii="Arial" w:hAnsi="Arial" w:cs="Arial"/>
        </w:rPr>
      </w:pPr>
      <w:r>
        <w:rPr>
          <w:rFonts w:ascii="Arial" w:hAnsi="Arial" w:cs="Arial"/>
        </w:rPr>
        <w:t>Community enCompass</w:t>
      </w:r>
      <w:r>
        <w:rPr>
          <w:rFonts w:ascii="Arial" w:hAnsi="Arial" w:cs="Arial"/>
        </w:rPr>
        <w:tab/>
        <w:t>Veterans Housing</w:t>
      </w:r>
      <w:r>
        <w:rPr>
          <w:rFonts w:ascii="Arial" w:hAnsi="Arial" w:cs="Arial"/>
        </w:rPr>
        <w:tab/>
      </w:r>
      <w:r>
        <w:rPr>
          <w:rFonts w:ascii="Arial" w:hAnsi="Arial" w:cs="Arial"/>
        </w:rPr>
        <w:tab/>
        <w:t>$24,921</w:t>
      </w:r>
    </w:p>
    <w:p w:rsidR="001F7FB7" w:rsidRDefault="001F7FB7" w:rsidP="001F7FB7">
      <w:pPr>
        <w:pStyle w:val="ListParagraph"/>
        <w:numPr>
          <w:ilvl w:val="0"/>
          <w:numId w:val="1"/>
        </w:numPr>
        <w:rPr>
          <w:rFonts w:ascii="Arial" w:hAnsi="Arial" w:cs="Arial"/>
        </w:rPr>
      </w:pPr>
      <w:r>
        <w:rPr>
          <w:rFonts w:ascii="Arial" w:hAnsi="Arial" w:cs="Arial"/>
        </w:rPr>
        <w:t>Community enCompass</w:t>
      </w:r>
      <w:r>
        <w:rPr>
          <w:rFonts w:ascii="Arial" w:hAnsi="Arial" w:cs="Arial"/>
        </w:rPr>
        <w:tab/>
        <w:t>Veterans Housing</w:t>
      </w:r>
      <w:r>
        <w:rPr>
          <w:rFonts w:ascii="Arial" w:hAnsi="Arial" w:cs="Arial"/>
        </w:rPr>
        <w:tab/>
      </w:r>
      <w:r>
        <w:rPr>
          <w:rFonts w:ascii="Arial" w:hAnsi="Arial" w:cs="Arial"/>
        </w:rPr>
        <w:tab/>
        <w:t>$23,553</w:t>
      </w:r>
    </w:p>
    <w:p w:rsidR="001F7FB7" w:rsidRDefault="001F7FB7" w:rsidP="001F7FB7">
      <w:pPr>
        <w:pStyle w:val="ListParagraph"/>
        <w:numPr>
          <w:ilvl w:val="0"/>
          <w:numId w:val="1"/>
        </w:numPr>
        <w:rPr>
          <w:rFonts w:ascii="Arial" w:hAnsi="Arial" w:cs="Arial"/>
        </w:rPr>
      </w:pPr>
      <w:r>
        <w:rPr>
          <w:rFonts w:ascii="Arial" w:hAnsi="Arial" w:cs="Arial"/>
        </w:rPr>
        <w:t>Every Woman’s Place</w:t>
      </w:r>
      <w:r>
        <w:rPr>
          <w:rFonts w:ascii="Arial" w:hAnsi="Arial" w:cs="Arial"/>
        </w:rPr>
        <w:tab/>
      </w:r>
      <w:r>
        <w:rPr>
          <w:rFonts w:ascii="Arial" w:hAnsi="Arial" w:cs="Arial"/>
        </w:rPr>
        <w:tab/>
        <w:t>HMIS</w:t>
      </w:r>
      <w:r>
        <w:rPr>
          <w:rFonts w:ascii="Arial" w:hAnsi="Arial" w:cs="Arial"/>
        </w:rPr>
        <w:tab/>
      </w:r>
      <w:r>
        <w:rPr>
          <w:rFonts w:ascii="Arial" w:hAnsi="Arial" w:cs="Arial"/>
        </w:rPr>
        <w:tab/>
      </w:r>
      <w:r>
        <w:rPr>
          <w:rFonts w:ascii="Arial" w:hAnsi="Arial" w:cs="Arial"/>
        </w:rPr>
        <w:tab/>
      </w:r>
      <w:r>
        <w:rPr>
          <w:rFonts w:ascii="Arial" w:hAnsi="Arial" w:cs="Arial"/>
        </w:rPr>
        <w:tab/>
        <w:t>$62,000</w:t>
      </w:r>
    </w:p>
    <w:p w:rsidR="001F7FB7" w:rsidRDefault="001F7FB7" w:rsidP="001F7FB7">
      <w:pPr>
        <w:pStyle w:val="ListParagraph"/>
        <w:numPr>
          <w:ilvl w:val="0"/>
          <w:numId w:val="1"/>
        </w:numPr>
        <w:rPr>
          <w:rFonts w:ascii="Arial" w:hAnsi="Arial" w:cs="Arial"/>
        </w:rPr>
      </w:pPr>
      <w:r>
        <w:rPr>
          <w:rFonts w:ascii="Arial" w:hAnsi="Arial" w:cs="Arial"/>
        </w:rPr>
        <w:t xml:space="preserve">Every Woman’s Place </w:t>
      </w:r>
      <w:r>
        <w:rPr>
          <w:rFonts w:ascii="Arial" w:hAnsi="Arial" w:cs="Arial"/>
        </w:rPr>
        <w:tab/>
        <w:t>Transitional Housing</w:t>
      </w:r>
      <w:r>
        <w:rPr>
          <w:rFonts w:ascii="Arial" w:hAnsi="Arial" w:cs="Arial"/>
        </w:rPr>
        <w:tab/>
      </w:r>
      <w:r>
        <w:rPr>
          <w:rFonts w:ascii="Arial" w:hAnsi="Arial" w:cs="Arial"/>
        </w:rPr>
        <w:tab/>
        <w:t>$234,168</w:t>
      </w:r>
      <w:r>
        <w:rPr>
          <w:rFonts w:ascii="Arial" w:hAnsi="Arial" w:cs="Arial"/>
        </w:rPr>
        <w:tab/>
      </w:r>
    </w:p>
    <w:p w:rsidR="001F7FB7" w:rsidRDefault="001F7FB7" w:rsidP="001F7FB7">
      <w:pPr>
        <w:pStyle w:val="ListParagraph"/>
        <w:rPr>
          <w:rFonts w:ascii="Arial" w:hAnsi="Arial" w:cs="Arial"/>
        </w:rPr>
      </w:pPr>
    </w:p>
    <w:p w:rsidR="001F7FB7" w:rsidRDefault="001F7FB7" w:rsidP="001F7FB7">
      <w:pPr>
        <w:jc w:val="both"/>
        <w:rPr>
          <w:rFonts w:ascii="Arial" w:hAnsi="Arial" w:cs="Arial"/>
        </w:rPr>
      </w:pPr>
      <w:r>
        <w:rPr>
          <w:rFonts w:ascii="Arial" w:hAnsi="Arial" w:cs="Arial"/>
        </w:rPr>
        <w:t>In addition, there is a 15% Permanent Housing Bonus ($79,050) of the CoC’s Final Preliminary Pro-Rata Need.  More than one Permanent Housing Bonus application may be submitted but we must stay within the $79,050 threshold for submission to HUD.  The type of projects that may be submitted are:</w:t>
      </w:r>
    </w:p>
    <w:p w:rsidR="001F7FB7" w:rsidRDefault="001F7FB7" w:rsidP="001F7FB7">
      <w:pPr>
        <w:ind w:firstLine="720"/>
        <w:jc w:val="both"/>
        <w:rPr>
          <w:rFonts w:ascii="Arial" w:hAnsi="Arial" w:cs="Arial"/>
        </w:rPr>
      </w:pPr>
      <w:r>
        <w:rPr>
          <w:rFonts w:ascii="Arial" w:hAnsi="Arial" w:cs="Arial"/>
        </w:rPr>
        <w:t>1.  New permanent supportive housing projects that will serve 100% chronically homeless families and individuals; and</w:t>
      </w:r>
    </w:p>
    <w:p w:rsidR="001F7FB7" w:rsidRDefault="001F7FB7" w:rsidP="001F7FB7">
      <w:pPr>
        <w:ind w:firstLine="720"/>
        <w:jc w:val="both"/>
        <w:rPr>
          <w:rFonts w:ascii="Arial" w:hAnsi="Arial" w:cs="Arial"/>
        </w:rPr>
      </w:pPr>
      <w:r>
        <w:rPr>
          <w:rFonts w:ascii="Arial" w:hAnsi="Arial" w:cs="Arial"/>
        </w:rPr>
        <w:t>2.  New rapid re-housing projects that will serve homeless individuals and families coming directly from the streets or emergency shelters and includes persons fleeing domestic violence situations and other persons meeting HUD’s definition of homelessness.</w:t>
      </w:r>
    </w:p>
    <w:p w:rsidR="001F7FB7" w:rsidRDefault="001F7FB7" w:rsidP="001F7FB7">
      <w:pPr>
        <w:jc w:val="both"/>
        <w:rPr>
          <w:rFonts w:ascii="Arial" w:hAnsi="Arial" w:cs="Arial"/>
        </w:rPr>
      </w:pPr>
      <w:r>
        <w:rPr>
          <w:rFonts w:ascii="Arial" w:hAnsi="Arial" w:cs="Arial"/>
        </w:rPr>
        <w:t>The CoC has determined that it will be re-allocating funds in this funding cycle.  Specifically, the CoC has determined that the transitional housing dollars will be re-allocated and the priority for new projects using the re-allocated funds will be those projects:</w:t>
      </w:r>
    </w:p>
    <w:p w:rsidR="001F7FB7" w:rsidRPr="00037064" w:rsidRDefault="001F7FB7" w:rsidP="001F7FB7">
      <w:pPr>
        <w:pStyle w:val="ListParagraph"/>
        <w:numPr>
          <w:ilvl w:val="0"/>
          <w:numId w:val="2"/>
        </w:numPr>
        <w:jc w:val="both"/>
        <w:rPr>
          <w:rFonts w:ascii="Arial" w:hAnsi="Arial" w:cs="Arial"/>
        </w:rPr>
      </w:pPr>
      <w:r w:rsidRPr="00037064">
        <w:rPr>
          <w:rFonts w:ascii="Arial" w:hAnsi="Arial" w:cs="Arial"/>
        </w:rPr>
        <w:t>that will create new permanent supportive housing projects where all beds will be dedicated for use by chronically homeless individuals and families</w:t>
      </w:r>
    </w:p>
    <w:p w:rsidR="001F7FB7" w:rsidRDefault="001F7FB7" w:rsidP="001F7FB7">
      <w:pPr>
        <w:pStyle w:val="ListParagraph"/>
        <w:numPr>
          <w:ilvl w:val="0"/>
          <w:numId w:val="2"/>
        </w:numPr>
        <w:jc w:val="both"/>
        <w:rPr>
          <w:rFonts w:ascii="Arial" w:hAnsi="Arial" w:cs="Arial"/>
        </w:rPr>
      </w:pPr>
      <w:r w:rsidRPr="004B7D5B">
        <w:rPr>
          <w:rFonts w:ascii="Arial" w:hAnsi="Arial" w:cs="Arial"/>
        </w:rPr>
        <w:t>rapid re-housing projects</w:t>
      </w:r>
      <w:r>
        <w:rPr>
          <w:rFonts w:ascii="Arial" w:hAnsi="Arial" w:cs="Arial"/>
        </w:rPr>
        <w:t xml:space="preserve"> for homeless individuals and families who enter directly from the streets or emergency shelters, youth up to age 24 and persons who meet the definition of homelessness,  </w:t>
      </w:r>
    </w:p>
    <w:p w:rsidR="001F7FB7" w:rsidRDefault="001F7FB7" w:rsidP="001F7FB7">
      <w:pPr>
        <w:pStyle w:val="ListParagraph"/>
        <w:numPr>
          <w:ilvl w:val="0"/>
          <w:numId w:val="2"/>
        </w:numPr>
        <w:jc w:val="both"/>
        <w:rPr>
          <w:rFonts w:ascii="Arial" w:hAnsi="Arial" w:cs="Arial"/>
        </w:rPr>
      </w:pPr>
      <w:r w:rsidRPr="004B7D5B">
        <w:rPr>
          <w:rFonts w:ascii="Arial" w:hAnsi="Arial" w:cs="Arial"/>
        </w:rPr>
        <w:t>SSO project specifically to create a centralized assessment system</w:t>
      </w:r>
      <w:r>
        <w:rPr>
          <w:rFonts w:ascii="Arial" w:hAnsi="Arial" w:cs="Arial"/>
        </w:rPr>
        <w:t xml:space="preserve"> or</w:t>
      </w:r>
    </w:p>
    <w:p w:rsidR="001F7FB7" w:rsidRDefault="001F7FB7" w:rsidP="001F7FB7">
      <w:pPr>
        <w:pStyle w:val="ListParagraph"/>
        <w:numPr>
          <w:ilvl w:val="0"/>
          <w:numId w:val="2"/>
        </w:numPr>
        <w:jc w:val="both"/>
        <w:rPr>
          <w:rFonts w:ascii="Arial" w:hAnsi="Arial" w:cs="Arial"/>
        </w:rPr>
      </w:pPr>
      <w:r>
        <w:rPr>
          <w:rFonts w:ascii="Arial" w:hAnsi="Arial" w:cs="Arial"/>
        </w:rPr>
        <w:t>A new HMIS project</w:t>
      </w:r>
    </w:p>
    <w:p w:rsidR="001F7FB7" w:rsidRPr="0011556A" w:rsidRDefault="001F7FB7" w:rsidP="001F7FB7">
      <w:pPr>
        <w:jc w:val="both"/>
        <w:rPr>
          <w:rFonts w:ascii="Arial" w:hAnsi="Arial" w:cs="Arial"/>
        </w:rPr>
      </w:pPr>
      <w:r w:rsidRPr="0011556A">
        <w:rPr>
          <w:rFonts w:ascii="Arial" w:hAnsi="Arial" w:cs="Arial"/>
        </w:rPr>
        <w:lastRenderedPageBreak/>
        <w:t>A discussion of the re-allocation process will be held at the Permanent Supportive Housing Committee meeting on October 6, 2015.</w:t>
      </w:r>
      <w:r>
        <w:rPr>
          <w:rFonts w:ascii="Arial" w:hAnsi="Arial" w:cs="Arial"/>
        </w:rPr>
        <w:t xml:space="preserve">  Further information about the re-allocation process will be posted on the MCHCCN website.</w:t>
      </w:r>
    </w:p>
    <w:p w:rsidR="001F7FB7" w:rsidRPr="00BB5BBA" w:rsidRDefault="001F7FB7" w:rsidP="001F7FB7">
      <w:pPr>
        <w:jc w:val="both"/>
        <w:rPr>
          <w:rFonts w:ascii="Arial" w:hAnsi="Arial" w:cs="Arial"/>
        </w:rPr>
      </w:pPr>
      <w:r w:rsidRPr="00BB5BBA">
        <w:rPr>
          <w:rFonts w:ascii="Arial" w:hAnsi="Arial" w:cs="Arial"/>
        </w:rPr>
        <w:t xml:space="preserve">Applications for funding must be submitted to the CoC Coordinator by </w:t>
      </w:r>
      <w:r w:rsidRPr="00BB5BBA">
        <w:rPr>
          <w:rFonts w:ascii="Arial" w:hAnsi="Arial" w:cs="Arial"/>
          <w:b/>
        </w:rPr>
        <w:t xml:space="preserve">5:00 pm </w:t>
      </w:r>
      <w:r w:rsidRPr="00BB5BBA">
        <w:rPr>
          <w:rFonts w:ascii="Arial" w:hAnsi="Arial" w:cs="Arial"/>
        </w:rPr>
        <w:t xml:space="preserve">on </w:t>
      </w:r>
      <w:r w:rsidRPr="00BB5BBA">
        <w:rPr>
          <w:rFonts w:ascii="Arial" w:hAnsi="Arial" w:cs="Arial"/>
          <w:b/>
        </w:rPr>
        <w:t>October 15, 2015.</w:t>
      </w:r>
      <w:r w:rsidRPr="00BB5BBA">
        <w:rPr>
          <w:rFonts w:ascii="Arial" w:hAnsi="Arial" w:cs="Arial"/>
        </w:rPr>
        <w:t xml:space="preserve">  </w:t>
      </w:r>
      <w:r w:rsidRPr="00BB5BBA">
        <w:rPr>
          <w:rFonts w:ascii="Arial" w:hAnsi="Arial" w:cs="Arial"/>
          <w:color w:val="000000"/>
        </w:rPr>
        <w:t>Applications can be dropped off at the Muskegon Community Health Project Office at 565 W. Western Avenue, Muskegon, MI 49440 to the attention of Judy Kell.</w:t>
      </w:r>
      <w:r w:rsidRPr="00BB5BBA">
        <w:rPr>
          <w:rFonts w:ascii="Arial" w:hAnsi="Arial" w:cs="Arial"/>
        </w:rPr>
        <w:t xml:space="preserve"> The Review Committee will meet to review the projects and rank them.  The applicants will be notified by </w:t>
      </w:r>
      <w:r w:rsidRPr="00BB5BBA">
        <w:rPr>
          <w:rFonts w:ascii="Arial" w:hAnsi="Arial" w:cs="Arial"/>
          <w:b/>
        </w:rPr>
        <w:t xml:space="preserve">November 1, 2015 </w:t>
      </w:r>
      <w:r w:rsidRPr="00BB5BBA">
        <w:rPr>
          <w:rFonts w:ascii="Arial" w:hAnsi="Arial" w:cs="Arial"/>
        </w:rPr>
        <w:t>as to whether their projects will be submitted to HUD through the Collaborative Applicant process.  If a project is rejected, there is an appeals process and a solo application can be submitted.</w:t>
      </w:r>
    </w:p>
    <w:p w:rsidR="001F7FB7" w:rsidRDefault="001F7FB7" w:rsidP="001F7FB7">
      <w:pPr>
        <w:jc w:val="both"/>
        <w:rPr>
          <w:rFonts w:ascii="Arial" w:hAnsi="Arial" w:cs="Arial"/>
        </w:rPr>
      </w:pPr>
      <w:r>
        <w:rPr>
          <w:rFonts w:ascii="Arial" w:hAnsi="Arial" w:cs="Arial"/>
        </w:rPr>
        <w:t xml:space="preserve">If the project is accepted by the CoC for submission to HUD, the project application must be uploaded by </w:t>
      </w:r>
      <w:r>
        <w:rPr>
          <w:rFonts w:ascii="Arial" w:hAnsi="Arial" w:cs="Arial"/>
          <w:b/>
        </w:rPr>
        <w:t xml:space="preserve">5:00 pm </w:t>
      </w:r>
      <w:r>
        <w:rPr>
          <w:rFonts w:ascii="Arial" w:hAnsi="Arial" w:cs="Arial"/>
        </w:rPr>
        <w:t xml:space="preserve">on </w:t>
      </w:r>
      <w:r>
        <w:rPr>
          <w:rFonts w:ascii="Arial" w:hAnsi="Arial" w:cs="Arial"/>
          <w:b/>
        </w:rPr>
        <w:t>November 17, 2015</w:t>
      </w:r>
      <w:r>
        <w:rPr>
          <w:rFonts w:ascii="Arial" w:hAnsi="Arial" w:cs="Arial"/>
        </w:rPr>
        <w:t xml:space="preserve"> in e-snaps.  This will allow sufficient time for the Collaborative Applicant to complete the application and apply in time to meet the deadline to allow the CoC to be eligible for an additional three points.</w:t>
      </w:r>
    </w:p>
    <w:p w:rsidR="001F7FB7" w:rsidRPr="008C38ED" w:rsidRDefault="001F7FB7" w:rsidP="001F7FB7">
      <w:pPr>
        <w:jc w:val="center"/>
        <w:rPr>
          <w:rFonts w:ascii="Arial" w:hAnsi="Arial" w:cs="Arial"/>
          <w:b/>
        </w:rPr>
      </w:pPr>
      <w:r>
        <w:rPr>
          <w:rFonts w:ascii="Arial" w:hAnsi="Arial" w:cs="Arial"/>
          <w:b/>
        </w:rPr>
        <w:t>APPLICATION REQUIREMENTS</w:t>
      </w:r>
    </w:p>
    <w:p w:rsidR="001F7FB7" w:rsidRDefault="001F7FB7" w:rsidP="001F7FB7">
      <w:pPr>
        <w:rPr>
          <w:rFonts w:ascii="Arial" w:hAnsi="Arial" w:cs="Arial"/>
        </w:rPr>
      </w:pPr>
      <w:r>
        <w:rPr>
          <w:rFonts w:ascii="Arial" w:hAnsi="Arial" w:cs="Arial"/>
        </w:rPr>
        <w:t>The applications to be submitted must include the following information:</w:t>
      </w:r>
    </w:p>
    <w:p w:rsidR="001F7FB7" w:rsidRDefault="001F7FB7" w:rsidP="001F7FB7">
      <w:pPr>
        <w:rPr>
          <w:rFonts w:ascii="Arial" w:hAnsi="Arial" w:cs="Arial"/>
        </w:rPr>
      </w:pPr>
      <w:r>
        <w:rPr>
          <w:rFonts w:ascii="Arial" w:hAnsi="Arial" w:cs="Arial"/>
        </w:rPr>
        <w:t>Name of Applicant</w:t>
      </w:r>
    </w:p>
    <w:p w:rsidR="001F7FB7" w:rsidRDefault="001F7FB7" w:rsidP="001F7FB7">
      <w:pPr>
        <w:rPr>
          <w:rFonts w:ascii="Arial" w:hAnsi="Arial" w:cs="Arial"/>
        </w:rPr>
      </w:pPr>
      <w:r>
        <w:rPr>
          <w:rFonts w:ascii="Arial" w:hAnsi="Arial" w:cs="Arial"/>
        </w:rPr>
        <w:t>Duns Number of Applicant</w:t>
      </w:r>
    </w:p>
    <w:p w:rsidR="001F7FB7" w:rsidRDefault="001F7FB7" w:rsidP="001F7FB7">
      <w:pPr>
        <w:rPr>
          <w:rFonts w:ascii="Arial" w:hAnsi="Arial" w:cs="Arial"/>
        </w:rPr>
      </w:pPr>
      <w:r>
        <w:rPr>
          <w:rFonts w:ascii="Arial" w:hAnsi="Arial" w:cs="Arial"/>
        </w:rPr>
        <w:t>SAM Registration of Applicant – screen shot of active registration</w:t>
      </w:r>
    </w:p>
    <w:p w:rsidR="001F7FB7" w:rsidRDefault="001F7FB7" w:rsidP="001F7FB7">
      <w:pPr>
        <w:rPr>
          <w:rFonts w:ascii="Arial" w:hAnsi="Arial" w:cs="Arial"/>
        </w:rPr>
      </w:pPr>
      <w:r>
        <w:rPr>
          <w:rFonts w:ascii="Arial" w:hAnsi="Arial" w:cs="Arial"/>
        </w:rPr>
        <w:t>Project Narrative</w:t>
      </w:r>
    </w:p>
    <w:p w:rsidR="001F7FB7" w:rsidRDefault="001F7FB7" w:rsidP="001F7FB7">
      <w:pPr>
        <w:rPr>
          <w:rFonts w:ascii="Arial" w:hAnsi="Arial" w:cs="Arial"/>
        </w:rPr>
      </w:pPr>
      <w:r>
        <w:rPr>
          <w:rFonts w:ascii="Arial" w:hAnsi="Arial" w:cs="Arial"/>
        </w:rPr>
        <w:t>Definition of population and sub-populations to be served</w:t>
      </w:r>
    </w:p>
    <w:p w:rsidR="001F7FB7" w:rsidRDefault="001F7FB7" w:rsidP="001F7FB7">
      <w:pPr>
        <w:rPr>
          <w:rFonts w:ascii="Arial" w:hAnsi="Arial" w:cs="Arial"/>
        </w:rPr>
      </w:pPr>
      <w:r>
        <w:rPr>
          <w:rFonts w:ascii="Arial" w:hAnsi="Arial" w:cs="Arial"/>
        </w:rPr>
        <w:t>Type of housing</w:t>
      </w:r>
    </w:p>
    <w:p w:rsidR="001F7FB7" w:rsidRDefault="001F7FB7" w:rsidP="001F7FB7">
      <w:pPr>
        <w:rPr>
          <w:rFonts w:ascii="Arial" w:hAnsi="Arial" w:cs="Arial"/>
        </w:rPr>
      </w:pPr>
      <w:r>
        <w:rPr>
          <w:rFonts w:ascii="Arial" w:hAnsi="Arial" w:cs="Arial"/>
        </w:rPr>
        <w:t>Mainstream Resources that will be made available to the tenants/clients</w:t>
      </w:r>
    </w:p>
    <w:p w:rsidR="001F7FB7" w:rsidRDefault="001F7FB7" w:rsidP="001F7FB7">
      <w:pPr>
        <w:rPr>
          <w:rFonts w:ascii="Arial" w:hAnsi="Arial" w:cs="Arial"/>
        </w:rPr>
      </w:pPr>
      <w:r>
        <w:rPr>
          <w:rFonts w:ascii="Arial" w:hAnsi="Arial" w:cs="Arial"/>
        </w:rPr>
        <w:t>Description of how the project is consistent with the CoC’s Housing First Policy</w:t>
      </w:r>
    </w:p>
    <w:p w:rsidR="001F7FB7" w:rsidRDefault="001F7FB7" w:rsidP="001F7FB7">
      <w:pPr>
        <w:rPr>
          <w:rFonts w:ascii="Arial" w:hAnsi="Arial" w:cs="Arial"/>
        </w:rPr>
      </w:pPr>
      <w:r>
        <w:rPr>
          <w:rFonts w:ascii="Arial" w:hAnsi="Arial" w:cs="Arial"/>
        </w:rPr>
        <w:t>Type of services to be provided to the tenant/client and who will provide the services</w:t>
      </w:r>
    </w:p>
    <w:p w:rsidR="001F7FB7" w:rsidRDefault="001F7FB7" w:rsidP="001F7FB7">
      <w:pPr>
        <w:rPr>
          <w:rFonts w:ascii="Arial" w:hAnsi="Arial" w:cs="Arial"/>
        </w:rPr>
      </w:pPr>
      <w:r>
        <w:rPr>
          <w:rFonts w:ascii="Arial" w:hAnsi="Arial" w:cs="Arial"/>
        </w:rPr>
        <w:t>Copies of APRs or other reports that show success in housing</w:t>
      </w:r>
    </w:p>
    <w:p w:rsidR="001F7FB7" w:rsidRDefault="001F7FB7" w:rsidP="001F7FB7">
      <w:pPr>
        <w:rPr>
          <w:rFonts w:ascii="Arial" w:hAnsi="Arial" w:cs="Arial"/>
        </w:rPr>
      </w:pPr>
      <w:r>
        <w:rPr>
          <w:rFonts w:ascii="Arial" w:hAnsi="Arial" w:cs="Arial"/>
        </w:rPr>
        <w:t>Description of the Agency’s experience in housing</w:t>
      </w:r>
    </w:p>
    <w:p w:rsidR="001F7FB7" w:rsidRDefault="001F7FB7" w:rsidP="001F7FB7">
      <w:pPr>
        <w:rPr>
          <w:rFonts w:ascii="Arial" w:hAnsi="Arial" w:cs="Arial"/>
        </w:rPr>
      </w:pPr>
      <w:r>
        <w:rPr>
          <w:rFonts w:ascii="Arial" w:hAnsi="Arial" w:cs="Arial"/>
        </w:rPr>
        <w:t>Description of any audit findings related to the use of federal or state funds</w:t>
      </w:r>
    </w:p>
    <w:p w:rsidR="001F7FB7" w:rsidRDefault="001F7FB7" w:rsidP="001F7FB7">
      <w:pPr>
        <w:rPr>
          <w:rFonts w:ascii="Arial" w:hAnsi="Arial" w:cs="Arial"/>
        </w:rPr>
      </w:pPr>
      <w:r>
        <w:rPr>
          <w:rFonts w:ascii="Arial" w:hAnsi="Arial" w:cs="Arial"/>
        </w:rPr>
        <w:t>Description of experience in managing HUD or any other federal funds to ensure the capacity to manage such funds</w:t>
      </w:r>
    </w:p>
    <w:p w:rsidR="001F7FB7" w:rsidRDefault="001F7FB7" w:rsidP="001F7FB7">
      <w:pPr>
        <w:rPr>
          <w:rFonts w:ascii="Arial" w:hAnsi="Arial" w:cs="Arial"/>
        </w:rPr>
      </w:pPr>
      <w:r>
        <w:rPr>
          <w:rFonts w:ascii="Arial" w:hAnsi="Arial" w:cs="Arial"/>
        </w:rPr>
        <w:t>Source of Match – with letter of commitment attached to the application</w:t>
      </w:r>
    </w:p>
    <w:p w:rsidR="001F7FB7" w:rsidRDefault="001F7FB7" w:rsidP="001F7FB7">
      <w:pPr>
        <w:rPr>
          <w:rFonts w:ascii="Arial" w:hAnsi="Arial" w:cs="Arial"/>
        </w:rPr>
      </w:pPr>
      <w:r>
        <w:rPr>
          <w:rFonts w:ascii="Arial" w:hAnsi="Arial" w:cs="Arial"/>
        </w:rPr>
        <w:lastRenderedPageBreak/>
        <w:t>Source of Leveraged Funds – with letter of commitment attached to the application</w:t>
      </w:r>
    </w:p>
    <w:p w:rsidR="001F7FB7" w:rsidRDefault="001F7FB7" w:rsidP="001F7FB7">
      <w:pPr>
        <w:rPr>
          <w:rFonts w:ascii="Arial" w:hAnsi="Arial" w:cs="Arial"/>
        </w:rPr>
      </w:pPr>
      <w:r>
        <w:rPr>
          <w:rFonts w:ascii="Arial" w:hAnsi="Arial" w:cs="Arial"/>
        </w:rPr>
        <w:t>Description of use of standardized tools to identify and assess eligible tenants/clients by the Agency itself and/or in conjunction with the HARA</w:t>
      </w:r>
    </w:p>
    <w:p w:rsidR="001F7FB7" w:rsidRDefault="001F7FB7" w:rsidP="001F7FB7">
      <w:pPr>
        <w:rPr>
          <w:rFonts w:ascii="Arial" w:hAnsi="Arial" w:cs="Arial"/>
        </w:rPr>
      </w:pPr>
      <w:r>
        <w:rPr>
          <w:rFonts w:ascii="Arial" w:hAnsi="Arial" w:cs="Arial"/>
        </w:rPr>
        <w:t>Description of experience with e-snaps system</w:t>
      </w:r>
    </w:p>
    <w:p w:rsidR="001F7FB7" w:rsidRDefault="001F7FB7" w:rsidP="001F7FB7">
      <w:pPr>
        <w:rPr>
          <w:rFonts w:ascii="Arial" w:hAnsi="Arial" w:cs="Arial"/>
        </w:rPr>
      </w:pPr>
      <w:r>
        <w:rPr>
          <w:rFonts w:ascii="Arial" w:hAnsi="Arial" w:cs="Arial"/>
        </w:rPr>
        <w:t>Length of grant term requested for new projects</w:t>
      </w:r>
    </w:p>
    <w:p w:rsidR="001F7FB7" w:rsidRDefault="001F7FB7" w:rsidP="001F7FB7">
      <w:pPr>
        <w:rPr>
          <w:rFonts w:ascii="Arial" w:hAnsi="Arial" w:cs="Arial"/>
        </w:rPr>
      </w:pPr>
      <w:r>
        <w:rPr>
          <w:rFonts w:ascii="Arial" w:hAnsi="Arial" w:cs="Arial"/>
        </w:rPr>
        <w:t>Budget for the Project</w:t>
      </w:r>
    </w:p>
    <w:p w:rsidR="001F7FB7" w:rsidRDefault="001F7FB7" w:rsidP="001F7FB7">
      <w:pPr>
        <w:rPr>
          <w:rFonts w:ascii="Arial" w:hAnsi="Arial" w:cs="Arial"/>
        </w:rPr>
      </w:pPr>
      <w:r>
        <w:rPr>
          <w:rFonts w:ascii="Arial" w:hAnsi="Arial" w:cs="Arial"/>
        </w:rPr>
        <w:t>Description of the Agency’s role on the Continuum of Care</w:t>
      </w:r>
    </w:p>
    <w:p w:rsidR="001F7FB7" w:rsidRDefault="001F7FB7" w:rsidP="001F7FB7">
      <w:pPr>
        <w:rPr>
          <w:rFonts w:ascii="Arial" w:hAnsi="Arial" w:cs="Arial"/>
        </w:rPr>
      </w:pPr>
      <w:r>
        <w:rPr>
          <w:rFonts w:ascii="Arial" w:hAnsi="Arial" w:cs="Arial"/>
        </w:rPr>
        <w:t>Description of the Agency’s compliance and participation in the HMIS system</w:t>
      </w:r>
    </w:p>
    <w:p w:rsidR="001F7FB7" w:rsidRDefault="001F7FB7" w:rsidP="001F7FB7">
      <w:pPr>
        <w:rPr>
          <w:rFonts w:ascii="Arial" w:hAnsi="Arial" w:cs="Arial"/>
        </w:rPr>
      </w:pPr>
      <w:r>
        <w:rPr>
          <w:rFonts w:ascii="Arial" w:hAnsi="Arial" w:cs="Arial"/>
        </w:rPr>
        <w:t>Explanation for any late of slow LOCCS draws</w:t>
      </w:r>
    </w:p>
    <w:p w:rsidR="001F7FB7" w:rsidRDefault="001F7FB7" w:rsidP="001F7FB7">
      <w:pPr>
        <w:rPr>
          <w:rFonts w:ascii="Arial" w:hAnsi="Arial" w:cs="Arial"/>
        </w:rPr>
      </w:pPr>
      <w:r>
        <w:rPr>
          <w:rFonts w:ascii="Arial" w:hAnsi="Arial" w:cs="Arial"/>
        </w:rPr>
        <w:t>Explanation for any late APRs</w:t>
      </w:r>
    </w:p>
    <w:p w:rsidR="001F7FB7" w:rsidRDefault="001F7FB7" w:rsidP="001F7FB7">
      <w:pPr>
        <w:rPr>
          <w:rFonts w:ascii="Arial" w:hAnsi="Arial" w:cs="Arial"/>
        </w:rPr>
      </w:pPr>
      <w:r>
        <w:rPr>
          <w:rFonts w:ascii="Arial" w:hAnsi="Arial" w:cs="Arial"/>
        </w:rPr>
        <w:t>Explanation of how the project is consistent with the Consolidated Plan for the municipality in which the projects are located</w:t>
      </w:r>
    </w:p>
    <w:p w:rsidR="001F7FB7" w:rsidRDefault="001F7FB7" w:rsidP="001F7FB7">
      <w:pPr>
        <w:rPr>
          <w:rFonts w:ascii="Arial" w:hAnsi="Arial" w:cs="Arial"/>
        </w:rPr>
      </w:pPr>
      <w:r>
        <w:rPr>
          <w:rFonts w:ascii="Arial" w:hAnsi="Arial" w:cs="Arial"/>
        </w:rPr>
        <w:t>Completed SF 424</w:t>
      </w:r>
    </w:p>
    <w:p w:rsidR="001F7FB7" w:rsidRDefault="001F7FB7" w:rsidP="001F7FB7">
      <w:pPr>
        <w:rPr>
          <w:rFonts w:ascii="Arial" w:hAnsi="Arial" w:cs="Arial"/>
        </w:rPr>
      </w:pPr>
      <w:r>
        <w:rPr>
          <w:rFonts w:ascii="Arial" w:hAnsi="Arial" w:cs="Arial"/>
        </w:rPr>
        <w:t>Completed and dated correctly the following forms:</w:t>
      </w:r>
    </w:p>
    <w:p w:rsidR="001F7FB7" w:rsidRDefault="001F7FB7" w:rsidP="001F7FB7">
      <w:pPr>
        <w:pStyle w:val="ListParagraph"/>
        <w:numPr>
          <w:ilvl w:val="0"/>
          <w:numId w:val="3"/>
        </w:numPr>
        <w:rPr>
          <w:rFonts w:ascii="Arial" w:hAnsi="Arial" w:cs="Arial"/>
        </w:rPr>
      </w:pPr>
      <w:r>
        <w:rPr>
          <w:rFonts w:ascii="Arial" w:hAnsi="Arial" w:cs="Arial"/>
        </w:rPr>
        <w:t>Form HUD-2880</w:t>
      </w:r>
    </w:p>
    <w:p w:rsidR="001F7FB7" w:rsidRDefault="001F7FB7" w:rsidP="001F7FB7">
      <w:pPr>
        <w:pStyle w:val="ListParagraph"/>
        <w:numPr>
          <w:ilvl w:val="0"/>
          <w:numId w:val="3"/>
        </w:numPr>
        <w:rPr>
          <w:rFonts w:ascii="Arial" w:hAnsi="Arial" w:cs="Arial"/>
        </w:rPr>
      </w:pPr>
      <w:r>
        <w:rPr>
          <w:rFonts w:ascii="Arial" w:hAnsi="Arial" w:cs="Arial"/>
        </w:rPr>
        <w:t>SF-LLL</w:t>
      </w:r>
    </w:p>
    <w:p w:rsidR="001F7FB7" w:rsidRDefault="001F7FB7" w:rsidP="001F7FB7">
      <w:pPr>
        <w:pStyle w:val="ListParagraph"/>
        <w:numPr>
          <w:ilvl w:val="0"/>
          <w:numId w:val="3"/>
        </w:numPr>
        <w:rPr>
          <w:rFonts w:ascii="Arial" w:hAnsi="Arial" w:cs="Arial"/>
        </w:rPr>
      </w:pPr>
      <w:r>
        <w:rPr>
          <w:rFonts w:ascii="Arial" w:hAnsi="Arial" w:cs="Arial"/>
        </w:rPr>
        <w:t>Applicant Code of Conduct</w:t>
      </w:r>
    </w:p>
    <w:p w:rsidR="001F7FB7" w:rsidRDefault="001F7FB7" w:rsidP="001F7FB7">
      <w:pPr>
        <w:pStyle w:val="ListParagraph"/>
        <w:numPr>
          <w:ilvl w:val="0"/>
          <w:numId w:val="3"/>
        </w:numPr>
        <w:rPr>
          <w:rFonts w:ascii="Arial" w:hAnsi="Arial" w:cs="Arial"/>
        </w:rPr>
      </w:pPr>
      <w:r>
        <w:rPr>
          <w:rFonts w:ascii="Arial" w:hAnsi="Arial" w:cs="Arial"/>
        </w:rPr>
        <w:t>Form HUD-50070</w:t>
      </w:r>
    </w:p>
    <w:p w:rsidR="001F7FB7" w:rsidRPr="005205FE" w:rsidRDefault="001F7FB7" w:rsidP="001F7FB7">
      <w:pPr>
        <w:rPr>
          <w:rFonts w:ascii="Arial" w:hAnsi="Arial" w:cs="Arial"/>
        </w:rPr>
      </w:pPr>
      <w:r>
        <w:rPr>
          <w:rFonts w:ascii="Arial" w:hAnsi="Arial" w:cs="Arial"/>
        </w:rPr>
        <w:t xml:space="preserve">The successful applicant must submit a completed and signed HUD Form -2991 no later than </w:t>
      </w:r>
      <w:r>
        <w:rPr>
          <w:rFonts w:ascii="Arial" w:hAnsi="Arial" w:cs="Arial"/>
          <w:b/>
        </w:rPr>
        <w:t xml:space="preserve">November 10, 2015 </w:t>
      </w:r>
      <w:r>
        <w:rPr>
          <w:rFonts w:ascii="Arial" w:hAnsi="Arial" w:cs="Arial"/>
        </w:rPr>
        <w:t>to the CoC Coordinator.</w:t>
      </w:r>
    </w:p>
    <w:p w:rsidR="001F7FB7" w:rsidRDefault="001F7FB7" w:rsidP="001F7FB7">
      <w:pPr>
        <w:rPr>
          <w:rFonts w:ascii="Arial" w:hAnsi="Arial" w:cs="Arial"/>
        </w:rPr>
      </w:pPr>
      <w:r>
        <w:rPr>
          <w:rFonts w:ascii="Arial" w:hAnsi="Arial" w:cs="Arial"/>
        </w:rPr>
        <w:t>Please note that HUD is requiring that the CoC rank all projects in two tiers due to potential funding restrictions.  Tier One projects will be equal to 85%  of our Annual Demand and Tier 2 is the difference between Tier One and the CoC’s Annual Demand plus any amount available for the Bonus dollars.  As soon as the CoC is notified by HUD of our final dollar amount, it will be posted on the website.</w:t>
      </w:r>
    </w:p>
    <w:p w:rsidR="001F7FB7" w:rsidRDefault="001F7FB7" w:rsidP="001F7FB7">
      <w:pPr>
        <w:rPr>
          <w:rFonts w:ascii="Arial" w:hAnsi="Arial" w:cs="Arial"/>
        </w:rPr>
      </w:pPr>
      <w:r>
        <w:rPr>
          <w:rFonts w:ascii="Arial" w:hAnsi="Arial" w:cs="Arial"/>
        </w:rPr>
        <w:t>Additional information can be found by reviewing the CoC Program NOFA on the HUD Exchange website.</w:t>
      </w:r>
    </w:p>
    <w:p w:rsidR="001F7FB7" w:rsidRDefault="001F7FB7" w:rsidP="001F7FB7">
      <w:pPr>
        <w:rPr>
          <w:rFonts w:ascii="Arial" w:hAnsi="Arial" w:cs="Arial"/>
        </w:rPr>
      </w:pPr>
    </w:p>
    <w:p w:rsidR="001F7FB7" w:rsidRDefault="001F7FB7" w:rsidP="001F7FB7">
      <w:pPr>
        <w:rPr>
          <w:rFonts w:ascii="Arial" w:hAnsi="Arial" w:cs="Arial"/>
        </w:rPr>
      </w:pPr>
    </w:p>
    <w:p w:rsidR="001F7FB7" w:rsidRDefault="001F7FB7" w:rsidP="001F7FB7">
      <w:pPr>
        <w:rPr>
          <w:rFonts w:ascii="Arial" w:hAnsi="Arial" w:cs="Arial"/>
        </w:rPr>
      </w:pPr>
    </w:p>
    <w:p w:rsidR="001F7FB7" w:rsidRDefault="001F7FB7" w:rsidP="001F7FB7">
      <w:pPr>
        <w:rPr>
          <w:rFonts w:ascii="Arial" w:hAnsi="Arial" w:cs="Arial"/>
        </w:rPr>
      </w:pPr>
      <w:r>
        <w:rPr>
          <w:rFonts w:ascii="Arial" w:hAnsi="Arial" w:cs="Arial"/>
        </w:rPr>
        <w:t>Posted:  September 29, 2015</w:t>
      </w:r>
    </w:p>
    <w:sectPr w:rsidR="001F7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C612F"/>
    <w:multiLevelType w:val="hybridMultilevel"/>
    <w:tmpl w:val="2194843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5E66349D"/>
    <w:multiLevelType w:val="hybridMultilevel"/>
    <w:tmpl w:val="44CCA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52731F"/>
    <w:multiLevelType w:val="hybridMultilevel"/>
    <w:tmpl w:val="8B74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B7"/>
    <w:rsid w:val="001D68D7"/>
    <w:rsid w:val="001F7FB7"/>
    <w:rsid w:val="00F7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F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F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F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Host</dc:creator>
  <cp:lastModifiedBy>Miranda Broadbent</cp:lastModifiedBy>
  <cp:revision>2</cp:revision>
  <dcterms:created xsi:type="dcterms:W3CDTF">2015-09-29T20:04:00Z</dcterms:created>
  <dcterms:modified xsi:type="dcterms:W3CDTF">2015-09-29T20:04:00Z</dcterms:modified>
</cp:coreProperties>
</file>