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89A7" w14:textId="77777777" w:rsidR="001F7FB7" w:rsidRDefault="001F7FB7" w:rsidP="001F7F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Muskegon County Homeless Continuum of Care Network</w:t>
      </w:r>
    </w:p>
    <w:p w14:paraId="10ADC102" w14:textId="77777777" w:rsidR="001F7FB7" w:rsidRDefault="001F7FB7" w:rsidP="001F7FB7">
      <w:pPr>
        <w:jc w:val="center"/>
        <w:rPr>
          <w:rFonts w:ascii="Arial" w:hAnsi="Arial" w:cs="Arial"/>
          <w:sz w:val="28"/>
          <w:szCs w:val="28"/>
        </w:rPr>
      </w:pPr>
      <w:r w:rsidRPr="0042583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0C10EC" wp14:editId="4FF1FA63">
            <wp:simplePos x="0" y="0"/>
            <wp:positionH relativeFrom="margin">
              <wp:posOffset>-621102</wp:posOffset>
            </wp:positionH>
            <wp:positionV relativeFrom="margin">
              <wp:posOffset>-483079</wp:posOffset>
            </wp:positionV>
            <wp:extent cx="897147" cy="897147"/>
            <wp:effectExtent l="0" t="0" r="0" b="0"/>
            <wp:wrapNone/>
            <wp:docPr id="2" name="Picture 2" descr="44wsd0mj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wsd0mj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4" cy="89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836">
        <w:rPr>
          <w:rFonts w:ascii="Arial" w:hAnsi="Arial" w:cs="Arial"/>
          <w:sz w:val="28"/>
          <w:szCs w:val="28"/>
        </w:rPr>
        <w:t>MI-516 Norton Shores, City of Muskegon &amp; County CoC</w:t>
      </w:r>
    </w:p>
    <w:p w14:paraId="74D22E6F" w14:textId="77777777" w:rsidR="00654FF1" w:rsidRPr="00EA4756" w:rsidRDefault="00654FF1" w:rsidP="00654FF1">
      <w:pPr>
        <w:rPr>
          <w:rFonts w:ascii="Arial" w:hAnsi="Arial" w:cs="Arial"/>
          <w:b/>
          <w:sz w:val="32"/>
          <w:szCs w:val="32"/>
        </w:rPr>
      </w:pPr>
      <w:r w:rsidRPr="00EA4756">
        <w:rPr>
          <w:rFonts w:ascii="Arial" w:hAnsi="Arial" w:cs="Arial"/>
          <w:b/>
          <w:sz w:val="32"/>
          <w:szCs w:val="32"/>
        </w:rPr>
        <w:t>MEMORANDUM</w:t>
      </w:r>
    </w:p>
    <w:p w14:paraId="3E4C47D1" w14:textId="00140AD6" w:rsidR="00654FF1" w:rsidRPr="00FC54CE" w:rsidRDefault="00654FF1" w:rsidP="00EA4756">
      <w:pPr>
        <w:pStyle w:val="NoSpacing"/>
        <w:rPr>
          <w:sz w:val="24"/>
          <w:szCs w:val="24"/>
        </w:rPr>
      </w:pPr>
      <w:r w:rsidRPr="00FC54CE">
        <w:rPr>
          <w:b/>
          <w:sz w:val="24"/>
          <w:szCs w:val="24"/>
        </w:rPr>
        <w:t>TO:</w:t>
      </w:r>
      <w:r w:rsidRPr="00FC54CE">
        <w:rPr>
          <w:b/>
          <w:sz w:val="24"/>
          <w:szCs w:val="24"/>
        </w:rPr>
        <w:tab/>
      </w:r>
      <w:r w:rsidRPr="00FC54CE">
        <w:rPr>
          <w:b/>
          <w:sz w:val="24"/>
          <w:szCs w:val="24"/>
        </w:rPr>
        <w:tab/>
      </w:r>
      <w:r w:rsidR="00447004">
        <w:rPr>
          <w:sz w:val="24"/>
          <w:szCs w:val="24"/>
        </w:rPr>
        <w:t>Muskegon County Homeless Continuum of Care Network</w:t>
      </w:r>
    </w:p>
    <w:p w14:paraId="0F6C018F" w14:textId="1EE396B1" w:rsidR="00D1563A" w:rsidRPr="00FC54CE" w:rsidRDefault="00EA4756" w:rsidP="00EA4756">
      <w:pPr>
        <w:pStyle w:val="NoSpacing"/>
        <w:rPr>
          <w:sz w:val="24"/>
          <w:szCs w:val="24"/>
        </w:rPr>
      </w:pPr>
      <w:r w:rsidRPr="00FC54CE">
        <w:rPr>
          <w:b/>
          <w:sz w:val="24"/>
          <w:szCs w:val="24"/>
        </w:rPr>
        <w:t>FROM:</w:t>
      </w:r>
      <w:r w:rsidRPr="00FC54CE">
        <w:rPr>
          <w:sz w:val="24"/>
          <w:szCs w:val="24"/>
        </w:rPr>
        <w:tab/>
      </w:r>
      <w:r w:rsidR="00FC54CE">
        <w:rPr>
          <w:sz w:val="24"/>
          <w:szCs w:val="24"/>
        </w:rPr>
        <w:tab/>
      </w:r>
      <w:r w:rsidR="00447004">
        <w:rPr>
          <w:sz w:val="24"/>
          <w:szCs w:val="24"/>
        </w:rPr>
        <w:t>Jamie Hekker, CoC Chair</w:t>
      </w:r>
    </w:p>
    <w:p w14:paraId="3D847C41" w14:textId="6936B8E7" w:rsidR="00D1563A" w:rsidRPr="00FC54CE" w:rsidRDefault="00D1563A" w:rsidP="00EA4756">
      <w:pPr>
        <w:pStyle w:val="NoSpacing"/>
        <w:rPr>
          <w:sz w:val="24"/>
          <w:szCs w:val="24"/>
        </w:rPr>
      </w:pPr>
      <w:r w:rsidRPr="00FC54CE">
        <w:rPr>
          <w:b/>
          <w:sz w:val="24"/>
          <w:szCs w:val="24"/>
        </w:rPr>
        <w:t>DATE</w:t>
      </w:r>
      <w:r w:rsidR="00EA4756" w:rsidRPr="00FC54CE">
        <w:rPr>
          <w:sz w:val="24"/>
          <w:szCs w:val="24"/>
        </w:rPr>
        <w:t>:</w:t>
      </w:r>
      <w:r w:rsidR="00EA4756" w:rsidRPr="00FC54CE">
        <w:rPr>
          <w:sz w:val="24"/>
          <w:szCs w:val="24"/>
        </w:rPr>
        <w:tab/>
      </w:r>
      <w:r w:rsidR="00F66937" w:rsidRPr="00FC54CE">
        <w:rPr>
          <w:sz w:val="24"/>
          <w:szCs w:val="24"/>
        </w:rPr>
        <w:tab/>
      </w:r>
      <w:r w:rsidR="002E0CBD">
        <w:rPr>
          <w:sz w:val="24"/>
          <w:szCs w:val="24"/>
        </w:rPr>
        <w:t>September 7</w:t>
      </w:r>
      <w:r w:rsidR="00C67916">
        <w:rPr>
          <w:sz w:val="24"/>
          <w:szCs w:val="24"/>
        </w:rPr>
        <w:t>, 2023</w:t>
      </w:r>
    </w:p>
    <w:p w14:paraId="1E9F9106" w14:textId="64EA0545" w:rsidR="00D1563A" w:rsidRPr="00FC54CE" w:rsidRDefault="00D1563A" w:rsidP="00EA4756">
      <w:pPr>
        <w:pStyle w:val="NoSpacing"/>
        <w:rPr>
          <w:sz w:val="24"/>
          <w:szCs w:val="24"/>
          <w:u w:val="single"/>
        </w:rPr>
      </w:pPr>
      <w:r w:rsidRPr="00FC54CE">
        <w:rPr>
          <w:b/>
          <w:sz w:val="24"/>
          <w:szCs w:val="24"/>
          <w:u w:val="single"/>
        </w:rPr>
        <w:t>RE:</w:t>
      </w:r>
      <w:r w:rsidRPr="00FC54CE">
        <w:rPr>
          <w:sz w:val="24"/>
          <w:szCs w:val="24"/>
          <w:u w:val="single"/>
        </w:rPr>
        <w:tab/>
      </w:r>
      <w:r w:rsidRPr="00FC54CE">
        <w:rPr>
          <w:sz w:val="24"/>
          <w:szCs w:val="24"/>
          <w:u w:val="single"/>
        </w:rPr>
        <w:tab/>
      </w:r>
      <w:r w:rsidR="00C67916">
        <w:rPr>
          <w:sz w:val="24"/>
          <w:szCs w:val="24"/>
          <w:u w:val="single"/>
        </w:rPr>
        <w:t>HUD CoC Program Applications</w:t>
      </w:r>
      <w:r w:rsidR="00EA4756" w:rsidRPr="00FC54CE">
        <w:rPr>
          <w:sz w:val="24"/>
          <w:szCs w:val="24"/>
          <w:u w:val="single"/>
        </w:rPr>
        <w:t>________________________________________</w:t>
      </w:r>
    </w:p>
    <w:p w14:paraId="522288AA" w14:textId="77777777" w:rsidR="002E0CBD" w:rsidRDefault="13F118AF" w:rsidP="00FC54CE">
      <w:pPr>
        <w:pStyle w:val="NoSpacing"/>
        <w:jc w:val="both"/>
      </w:pPr>
      <w:r>
        <w:t>The MCHCCN Review Committee met on August 31, 2023, to review the HUD CoC Program Applications</w:t>
      </w:r>
      <w:r w:rsidR="00447004">
        <w:t>, and ranked the projects and placed them in Tier One and Tier Two using the HUD project and ranking tool</w:t>
      </w:r>
      <w:r>
        <w:t xml:space="preserve">. There were 9 Permanent Supportive Housing applications submitted. </w:t>
      </w:r>
      <w:r w:rsidR="00447004">
        <w:t xml:space="preserve">The Executive Committee approved their recommendation of rankings of September 6, 2023. </w:t>
      </w:r>
    </w:p>
    <w:p w14:paraId="1BAD30D8" w14:textId="77777777" w:rsidR="002E0CBD" w:rsidRDefault="002E0CBD" w:rsidP="00FC54CE">
      <w:pPr>
        <w:pStyle w:val="NoSpacing"/>
        <w:jc w:val="both"/>
      </w:pPr>
    </w:p>
    <w:p w14:paraId="64EEBAAF" w14:textId="11E1BA1A" w:rsidR="002433E1" w:rsidRDefault="13F118AF" w:rsidP="00FC54CE">
      <w:pPr>
        <w:pStyle w:val="NoSpacing"/>
        <w:jc w:val="both"/>
      </w:pPr>
      <w:r>
        <w:t xml:space="preserve">The total points for renewal applications were 102 and the total points for new applications were 85. The scoring, funding amount request and ranking are listed below.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038"/>
        <w:gridCol w:w="1748"/>
        <w:gridCol w:w="2301"/>
        <w:gridCol w:w="841"/>
        <w:gridCol w:w="1591"/>
        <w:gridCol w:w="841"/>
      </w:tblGrid>
      <w:tr w:rsidR="13F118AF" w14:paraId="6831B50F" w14:textId="77777777" w:rsidTr="13F118AF">
        <w:trPr>
          <w:trHeight w:val="300"/>
        </w:trPr>
        <w:tc>
          <w:tcPr>
            <w:tcW w:w="2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4472C4" w:themeFill="accent5"/>
            <w:tcMar>
              <w:top w:w="15" w:type="dxa"/>
              <w:left w:w="15" w:type="dxa"/>
              <w:right w:w="15" w:type="dxa"/>
            </w:tcMar>
            <w:vAlign w:val="bottom"/>
          </w:tcPr>
          <w:p w14:paraId="5F9F4755" w14:textId="59AA43F8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Program</w:t>
            </w:r>
          </w:p>
        </w:tc>
        <w:tc>
          <w:tcPr>
            <w:tcW w:w="17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4472C4" w:themeFill="accent5"/>
            <w:tcMar>
              <w:top w:w="15" w:type="dxa"/>
              <w:left w:w="15" w:type="dxa"/>
              <w:right w:w="15" w:type="dxa"/>
            </w:tcMar>
            <w:vAlign w:val="bottom"/>
          </w:tcPr>
          <w:p w14:paraId="3254C6FF" w14:textId="43895096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Agency</w:t>
            </w:r>
          </w:p>
        </w:tc>
        <w:tc>
          <w:tcPr>
            <w:tcW w:w="23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4472C4" w:themeFill="accent5"/>
            <w:tcMar>
              <w:top w:w="15" w:type="dxa"/>
              <w:left w:w="15" w:type="dxa"/>
              <w:right w:w="15" w:type="dxa"/>
            </w:tcMar>
            <w:vAlign w:val="bottom"/>
          </w:tcPr>
          <w:p w14:paraId="4280C21E" w14:textId="10D1D215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Funding amount request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4472C4" w:themeFill="accent5"/>
            <w:tcMar>
              <w:top w:w="15" w:type="dxa"/>
              <w:left w:w="15" w:type="dxa"/>
              <w:right w:w="15" w:type="dxa"/>
            </w:tcMar>
            <w:vAlign w:val="bottom"/>
          </w:tcPr>
          <w:p w14:paraId="4FE8FBDE" w14:textId="6A9D6C3B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Score</w:t>
            </w:r>
          </w:p>
        </w:tc>
        <w:tc>
          <w:tcPr>
            <w:tcW w:w="159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4472C4" w:themeFill="accent5"/>
            <w:tcMar>
              <w:top w:w="15" w:type="dxa"/>
              <w:left w:w="15" w:type="dxa"/>
              <w:right w:w="15" w:type="dxa"/>
            </w:tcMar>
            <w:vAlign w:val="bottom"/>
          </w:tcPr>
          <w:p w14:paraId="3B3CA463" w14:textId="5599273E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Adjusted Scores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4472C4" w:themeFill="accent5"/>
            <w:tcMar>
              <w:top w:w="15" w:type="dxa"/>
              <w:left w:w="15" w:type="dxa"/>
              <w:right w:w="15" w:type="dxa"/>
            </w:tcMar>
            <w:vAlign w:val="bottom"/>
          </w:tcPr>
          <w:p w14:paraId="16E94A39" w14:textId="0E4CEF71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Tier</w:t>
            </w:r>
          </w:p>
        </w:tc>
      </w:tr>
      <w:tr w:rsidR="13F118AF" w14:paraId="1995E98A" w14:textId="77777777" w:rsidTr="13F118AF">
        <w:trPr>
          <w:trHeight w:val="300"/>
        </w:trPr>
        <w:tc>
          <w:tcPr>
            <w:tcW w:w="2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6FD60F43" w14:textId="396D5645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HMIS</w:t>
            </w:r>
          </w:p>
        </w:tc>
        <w:tc>
          <w:tcPr>
            <w:tcW w:w="17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5413B757" w14:textId="3D185311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United </w:t>
            </w:r>
            <w:r w:rsidR="00106534">
              <w:rPr>
                <w:rFonts w:ascii="Calibri" w:eastAsia="Calibri" w:hAnsi="Calibri" w:cs="Calibri"/>
                <w:color w:val="000000" w:themeColor="text1"/>
              </w:rPr>
              <w:t>W</w:t>
            </w:r>
            <w:r w:rsidRPr="13F118AF">
              <w:rPr>
                <w:rFonts w:ascii="Calibri" w:eastAsia="Calibri" w:hAnsi="Calibri" w:cs="Calibri"/>
                <w:color w:val="000000" w:themeColor="text1"/>
              </w:rPr>
              <w:t>ay</w:t>
            </w:r>
          </w:p>
        </w:tc>
        <w:tc>
          <w:tcPr>
            <w:tcW w:w="23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6EEA5133" w14:textId="710F1403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$ </w:t>
            </w:r>
            <w:r w:rsidR="00106534" w:rsidRPr="13F118AF">
              <w:rPr>
                <w:rFonts w:ascii="Calibri" w:eastAsia="Calibri" w:hAnsi="Calibri" w:cs="Calibri"/>
                <w:color w:val="000000" w:themeColor="text1"/>
              </w:rPr>
              <w:t xml:space="preserve">62,000.00 </w:t>
            </w: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55D2646A" w14:textId="4A345472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102</w:t>
            </w:r>
          </w:p>
        </w:tc>
        <w:tc>
          <w:tcPr>
            <w:tcW w:w="159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707028E4" w14:textId="5AF0902B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100%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6F5DCE46" w14:textId="1E0DFA58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3F118AF" w14:paraId="49CC839B" w14:textId="77777777" w:rsidTr="13F118AF">
        <w:trPr>
          <w:trHeight w:val="300"/>
        </w:trPr>
        <w:tc>
          <w:tcPr>
            <w:tcW w:w="2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860ED5" w14:textId="7A09610D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Supportive Housing I</w:t>
            </w:r>
          </w:p>
        </w:tc>
        <w:tc>
          <w:tcPr>
            <w:tcW w:w="17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F2F773" w14:textId="2A3861FF" w:rsidR="13F118AF" w:rsidRDefault="13F118AF" w:rsidP="13F118AF">
            <w:pPr>
              <w:spacing w:after="0"/>
            </w:pPr>
            <w:proofErr w:type="spellStart"/>
            <w:r w:rsidRPr="13F118AF">
              <w:rPr>
                <w:rFonts w:ascii="Calibri" w:eastAsia="Calibri" w:hAnsi="Calibri" w:cs="Calibri"/>
                <w:color w:val="000000" w:themeColor="text1"/>
              </w:rPr>
              <w:t>HealthWest</w:t>
            </w:r>
            <w:proofErr w:type="spellEnd"/>
          </w:p>
        </w:tc>
        <w:tc>
          <w:tcPr>
            <w:tcW w:w="23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63B1C6" w14:textId="0F929BFD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$</w:t>
            </w:r>
            <w:r w:rsidR="00106534" w:rsidRPr="13F118AF">
              <w:rPr>
                <w:rFonts w:ascii="Calibri" w:eastAsia="Calibri" w:hAnsi="Calibri" w:cs="Calibri"/>
                <w:color w:val="000000" w:themeColor="text1"/>
              </w:rPr>
              <w:t xml:space="preserve">147,665.00 </w:t>
            </w: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53A3D3" w14:textId="6C2C329D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96.25</w:t>
            </w:r>
          </w:p>
        </w:tc>
        <w:tc>
          <w:tcPr>
            <w:tcW w:w="159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A7D736" w14:textId="550BE97A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94%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AED49F" w14:textId="4082EA71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3F118AF" w14:paraId="0D6169C6" w14:textId="77777777" w:rsidTr="13F118AF">
        <w:trPr>
          <w:trHeight w:val="300"/>
        </w:trPr>
        <w:tc>
          <w:tcPr>
            <w:tcW w:w="2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067743EC" w14:textId="06E2541D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PSH 1</w:t>
            </w:r>
          </w:p>
        </w:tc>
        <w:tc>
          <w:tcPr>
            <w:tcW w:w="17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103E38B2" w14:textId="7A8E148B" w:rsidR="13F118AF" w:rsidRDefault="13F118AF" w:rsidP="13F118AF">
            <w:pPr>
              <w:spacing w:after="0"/>
            </w:pPr>
            <w:proofErr w:type="spellStart"/>
            <w:r w:rsidRPr="13F118AF">
              <w:rPr>
                <w:rFonts w:ascii="Calibri" w:eastAsia="Calibri" w:hAnsi="Calibri" w:cs="Calibri"/>
                <w:color w:val="000000" w:themeColor="text1"/>
              </w:rPr>
              <w:t>EveryWomans</w:t>
            </w:r>
            <w:proofErr w:type="spellEnd"/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Place</w:t>
            </w:r>
          </w:p>
        </w:tc>
        <w:tc>
          <w:tcPr>
            <w:tcW w:w="23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38575773" w14:textId="5AD8C282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$ </w:t>
            </w:r>
            <w:r w:rsidR="00106534" w:rsidRPr="13F118AF">
              <w:rPr>
                <w:rFonts w:ascii="Calibri" w:eastAsia="Calibri" w:hAnsi="Calibri" w:cs="Calibri"/>
                <w:color w:val="000000" w:themeColor="text1"/>
              </w:rPr>
              <w:t xml:space="preserve">200,124.00 </w:t>
            </w: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7F6DB030" w14:textId="560DB041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81.75</w:t>
            </w:r>
          </w:p>
        </w:tc>
        <w:tc>
          <w:tcPr>
            <w:tcW w:w="159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7D3C62F9" w14:textId="22F1C0A2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80%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004A9131" w14:textId="086D9DEA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3F118AF" w14:paraId="0F8CB7F2" w14:textId="77777777" w:rsidTr="13F118AF">
        <w:trPr>
          <w:trHeight w:val="300"/>
        </w:trPr>
        <w:tc>
          <w:tcPr>
            <w:tcW w:w="2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806BAA" w14:textId="4BDB6BCB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PSH 2</w:t>
            </w:r>
          </w:p>
        </w:tc>
        <w:tc>
          <w:tcPr>
            <w:tcW w:w="17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C8EB4FA" w14:textId="07180AA9" w:rsidR="13F118AF" w:rsidRDefault="13F118AF" w:rsidP="13F118AF">
            <w:pPr>
              <w:spacing w:after="0"/>
            </w:pPr>
            <w:proofErr w:type="spellStart"/>
            <w:r w:rsidRPr="13F118AF">
              <w:rPr>
                <w:rFonts w:ascii="Calibri" w:eastAsia="Calibri" w:hAnsi="Calibri" w:cs="Calibri"/>
                <w:color w:val="000000" w:themeColor="text1"/>
              </w:rPr>
              <w:t>EveryWomans</w:t>
            </w:r>
            <w:proofErr w:type="spellEnd"/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Place</w:t>
            </w:r>
          </w:p>
        </w:tc>
        <w:tc>
          <w:tcPr>
            <w:tcW w:w="23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DC0137" w14:textId="4F9ECB2F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$</w:t>
            </w:r>
            <w:r w:rsidR="00106534" w:rsidRPr="13F118AF">
              <w:rPr>
                <w:rFonts w:ascii="Calibri" w:eastAsia="Calibri" w:hAnsi="Calibri" w:cs="Calibri"/>
                <w:color w:val="000000" w:themeColor="text1"/>
              </w:rPr>
              <w:t xml:space="preserve">39,471.00 </w:t>
            </w: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 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79B7D6" w14:textId="3C2F786D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80.91</w:t>
            </w:r>
          </w:p>
        </w:tc>
        <w:tc>
          <w:tcPr>
            <w:tcW w:w="159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44BB70" w14:textId="375C7D8D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79%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B660A9" w14:textId="7C8CB73B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3F118AF" w14:paraId="2551D036" w14:textId="77777777" w:rsidTr="13F118AF">
        <w:trPr>
          <w:trHeight w:val="300"/>
        </w:trPr>
        <w:tc>
          <w:tcPr>
            <w:tcW w:w="2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70BAC707" w14:textId="4C8DD403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Supportive Housing II</w:t>
            </w:r>
          </w:p>
        </w:tc>
        <w:tc>
          <w:tcPr>
            <w:tcW w:w="17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0CFB1690" w14:textId="7E4D4E82" w:rsidR="13F118AF" w:rsidRDefault="13F118AF" w:rsidP="13F118AF">
            <w:pPr>
              <w:spacing w:after="0"/>
            </w:pPr>
            <w:proofErr w:type="spellStart"/>
            <w:r w:rsidRPr="13F118AF">
              <w:rPr>
                <w:rFonts w:ascii="Calibri" w:eastAsia="Calibri" w:hAnsi="Calibri" w:cs="Calibri"/>
                <w:color w:val="000000" w:themeColor="text1"/>
              </w:rPr>
              <w:t>HealthWest</w:t>
            </w:r>
            <w:proofErr w:type="spellEnd"/>
          </w:p>
        </w:tc>
        <w:tc>
          <w:tcPr>
            <w:tcW w:w="23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7D755CE6" w14:textId="6DD7D281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$</w:t>
            </w:r>
            <w:r w:rsidR="00106534" w:rsidRPr="13F118AF">
              <w:rPr>
                <w:rFonts w:ascii="Calibri" w:eastAsia="Calibri" w:hAnsi="Calibri" w:cs="Calibri"/>
                <w:color w:val="000000" w:themeColor="text1"/>
              </w:rPr>
              <w:t xml:space="preserve">23,536.00 </w:t>
            </w: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 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02FF2E3E" w14:textId="710AD1BF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79.91</w:t>
            </w:r>
          </w:p>
        </w:tc>
        <w:tc>
          <w:tcPr>
            <w:tcW w:w="159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2F01DCF5" w14:textId="399E9DB0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78%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2D88F824" w14:textId="40AC1FA4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3F118AF" w14:paraId="5D3D55EE" w14:textId="77777777" w:rsidTr="13F118AF">
        <w:trPr>
          <w:trHeight w:val="300"/>
        </w:trPr>
        <w:tc>
          <w:tcPr>
            <w:tcW w:w="2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1E446E" w14:textId="3E638AC3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PSH 3</w:t>
            </w:r>
          </w:p>
        </w:tc>
        <w:tc>
          <w:tcPr>
            <w:tcW w:w="17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9B8004" w14:textId="5376623F" w:rsidR="13F118AF" w:rsidRDefault="13F118AF" w:rsidP="13F118AF">
            <w:pPr>
              <w:spacing w:after="0"/>
            </w:pPr>
            <w:proofErr w:type="spellStart"/>
            <w:r w:rsidRPr="13F118AF">
              <w:rPr>
                <w:rFonts w:ascii="Calibri" w:eastAsia="Calibri" w:hAnsi="Calibri" w:cs="Calibri"/>
                <w:color w:val="000000" w:themeColor="text1"/>
              </w:rPr>
              <w:t>EveryWomans</w:t>
            </w:r>
            <w:proofErr w:type="spellEnd"/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Place</w:t>
            </w:r>
          </w:p>
        </w:tc>
        <w:tc>
          <w:tcPr>
            <w:tcW w:w="23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65108E9" w14:textId="5D917440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$</w:t>
            </w:r>
            <w:r w:rsidR="00106534" w:rsidRPr="13F118AF">
              <w:rPr>
                <w:rFonts w:ascii="Calibri" w:eastAsia="Calibri" w:hAnsi="Calibri" w:cs="Calibri"/>
                <w:color w:val="000000" w:themeColor="text1"/>
              </w:rPr>
              <w:t xml:space="preserve">11,916.00 </w:t>
            </w: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 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A88915" w14:textId="37884586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78.83</w:t>
            </w:r>
          </w:p>
        </w:tc>
        <w:tc>
          <w:tcPr>
            <w:tcW w:w="159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E53DFA" w14:textId="11FF80E6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77%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7E8A61" w14:textId="3BE97F2B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3F118AF" w14:paraId="00D25C3C" w14:textId="77777777" w:rsidTr="13F118AF">
        <w:trPr>
          <w:trHeight w:val="300"/>
        </w:trPr>
        <w:tc>
          <w:tcPr>
            <w:tcW w:w="2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38296152" w14:textId="1AE11358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Supportive Housing IV</w:t>
            </w:r>
          </w:p>
        </w:tc>
        <w:tc>
          <w:tcPr>
            <w:tcW w:w="17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315659AC" w14:textId="1C325664" w:rsidR="13F118AF" w:rsidRDefault="13F118AF" w:rsidP="13F118AF">
            <w:pPr>
              <w:spacing w:after="0"/>
            </w:pPr>
            <w:proofErr w:type="spellStart"/>
            <w:r w:rsidRPr="13F118AF">
              <w:rPr>
                <w:rFonts w:ascii="Calibri" w:eastAsia="Calibri" w:hAnsi="Calibri" w:cs="Calibri"/>
                <w:color w:val="000000" w:themeColor="text1"/>
              </w:rPr>
              <w:t>HealthWest</w:t>
            </w:r>
            <w:proofErr w:type="spellEnd"/>
          </w:p>
        </w:tc>
        <w:tc>
          <w:tcPr>
            <w:tcW w:w="23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66DA3B07" w14:textId="14FF2644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$</w:t>
            </w:r>
            <w:r w:rsidR="00106534" w:rsidRPr="13F118AF">
              <w:rPr>
                <w:rFonts w:ascii="Calibri" w:eastAsia="Calibri" w:hAnsi="Calibri" w:cs="Calibri"/>
                <w:color w:val="000000" w:themeColor="text1"/>
              </w:rPr>
              <w:t xml:space="preserve">30,139.00 </w:t>
            </w: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 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5D4D52FB" w14:textId="0E28E6BE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76.91</w:t>
            </w:r>
          </w:p>
        </w:tc>
        <w:tc>
          <w:tcPr>
            <w:tcW w:w="159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61FB53A3" w14:textId="1B6CF3B8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75%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41805EC9" w14:textId="0FE6DF79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3F118AF" w14:paraId="54E14705" w14:textId="77777777" w:rsidTr="13F118AF">
        <w:trPr>
          <w:trHeight w:val="300"/>
        </w:trPr>
        <w:tc>
          <w:tcPr>
            <w:tcW w:w="2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7CAC9E" w14:textId="1F71535B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Supportive Housing III</w:t>
            </w:r>
          </w:p>
        </w:tc>
        <w:tc>
          <w:tcPr>
            <w:tcW w:w="17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0B561F" w14:textId="26BF6855" w:rsidR="13F118AF" w:rsidRDefault="13F118AF" w:rsidP="13F118AF">
            <w:pPr>
              <w:spacing w:after="0"/>
            </w:pPr>
            <w:proofErr w:type="spellStart"/>
            <w:r w:rsidRPr="13F118AF">
              <w:rPr>
                <w:rFonts w:ascii="Calibri" w:eastAsia="Calibri" w:hAnsi="Calibri" w:cs="Calibri"/>
                <w:color w:val="000000" w:themeColor="text1"/>
              </w:rPr>
              <w:t>HealthWest</w:t>
            </w:r>
            <w:proofErr w:type="spellEnd"/>
          </w:p>
        </w:tc>
        <w:tc>
          <w:tcPr>
            <w:tcW w:w="23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C7A3101" w14:textId="3D47F021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$ </w:t>
            </w:r>
            <w:r w:rsidR="00106534" w:rsidRPr="13F118AF">
              <w:rPr>
                <w:rFonts w:ascii="Calibri" w:eastAsia="Calibri" w:hAnsi="Calibri" w:cs="Calibri"/>
                <w:color w:val="000000" w:themeColor="text1"/>
              </w:rPr>
              <w:t xml:space="preserve">30,434.00 </w:t>
            </w: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046586" w14:textId="045D2B33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76.58</w:t>
            </w:r>
          </w:p>
        </w:tc>
        <w:tc>
          <w:tcPr>
            <w:tcW w:w="159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F91F5C" w14:textId="025EFE56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75%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3C60E73" w14:textId="3346CBED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13F118AF" w14:paraId="0B951811" w14:textId="77777777" w:rsidTr="13F118AF">
        <w:trPr>
          <w:trHeight w:val="300"/>
        </w:trPr>
        <w:tc>
          <w:tcPr>
            <w:tcW w:w="2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6BD02D14" w14:textId="70D49377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Veterans PSH</w:t>
            </w:r>
          </w:p>
        </w:tc>
        <w:tc>
          <w:tcPr>
            <w:tcW w:w="17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5F397DA6" w14:textId="56DA1F73" w:rsidR="13F118AF" w:rsidRDefault="13F118AF" w:rsidP="13F118AF">
            <w:pPr>
              <w:spacing w:after="0"/>
            </w:pPr>
            <w:proofErr w:type="spellStart"/>
            <w:r w:rsidRPr="13F118AF">
              <w:rPr>
                <w:rFonts w:ascii="Calibri" w:eastAsia="Calibri" w:hAnsi="Calibri" w:cs="Calibri"/>
                <w:color w:val="000000" w:themeColor="text1"/>
              </w:rPr>
              <w:t>HealthWest</w:t>
            </w:r>
            <w:proofErr w:type="spellEnd"/>
          </w:p>
        </w:tc>
        <w:tc>
          <w:tcPr>
            <w:tcW w:w="23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0990267B" w14:textId="143C5777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$ </w:t>
            </w:r>
            <w:r w:rsidR="00106534" w:rsidRPr="13F118AF">
              <w:rPr>
                <w:rFonts w:ascii="Calibri" w:eastAsia="Calibri" w:hAnsi="Calibri" w:cs="Calibri"/>
                <w:color w:val="000000" w:themeColor="text1"/>
              </w:rPr>
              <w:t xml:space="preserve">59,598.00 </w:t>
            </w: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036560DF" w14:textId="48D02AF3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61.41</w:t>
            </w:r>
          </w:p>
        </w:tc>
        <w:tc>
          <w:tcPr>
            <w:tcW w:w="159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48D79DC1" w14:textId="731171B3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72%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76177494" w14:textId="3412D6F2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1,2</w:t>
            </w:r>
          </w:p>
        </w:tc>
      </w:tr>
      <w:tr w:rsidR="13F118AF" w14:paraId="45A14EBC" w14:textId="77777777" w:rsidTr="13F118AF">
        <w:trPr>
          <w:trHeight w:val="300"/>
        </w:trPr>
        <w:tc>
          <w:tcPr>
            <w:tcW w:w="2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A9F9FD" w14:textId="2BE1A2D4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PSH 4</w:t>
            </w:r>
          </w:p>
        </w:tc>
        <w:tc>
          <w:tcPr>
            <w:tcW w:w="17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8252799" w14:textId="3ECA45F3" w:rsidR="13F118AF" w:rsidRDefault="13F118AF" w:rsidP="13F118AF">
            <w:pPr>
              <w:spacing w:after="0"/>
            </w:pPr>
            <w:proofErr w:type="spellStart"/>
            <w:r w:rsidRPr="13F118AF">
              <w:rPr>
                <w:rFonts w:ascii="Calibri" w:eastAsia="Calibri" w:hAnsi="Calibri" w:cs="Calibri"/>
                <w:color w:val="000000" w:themeColor="text1"/>
              </w:rPr>
              <w:t>EveryWomans</w:t>
            </w:r>
            <w:proofErr w:type="spellEnd"/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Place</w:t>
            </w:r>
          </w:p>
        </w:tc>
        <w:tc>
          <w:tcPr>
            <w:tcW w:w="23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26D4A5" w14:textId="7F83600C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$</w:t>
            </w:r>
            <w:r w:rsidR="00106534" w:rsidRPr="13F118AF">
              <w:rPr>
                <w:rFonts w:ascii="Calibri" w:eastAsia="Calibri" w:hAnsi="Calibri" w:cs="Calibri"/>
                <w:color w:val="000000" w:themeColor="text1"/>
              </w:rPr>
              <w:t xml:space="preserve">32,555.00 </w:t>
            </w: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    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C38E14" w14:textId="4A604106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52.58</w:t>
            </w:r>
          </w:p>
        </w:tc>
        <w:tc>
          <w:tcPr>
            <w:tcW w:w="159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6901B6" w14:textId="368F0776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62%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CE55DB" w14:textId="5B23F794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13F118AF" w14:paraId="34DDB88D" w14:textId="77777777" w:rsidTr="13F118AF">
        <w:trPr>
          <w:trHeight w:val="300"/>
        </w:trPr>
        <w:tc>
          <w:tcPr>
            <w:tcW w:w="203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69A45B59" w14:textId="2FED6913" w:rsidR="13F118AF" w:rsidRDefault="13F118AF"/>
        </w:tc>
        <w:tc>
          <w:tcPr>
            <w:tcW w:w="174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0EE9BF1E" w14:textId="5FAAEAF2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>Total Amount</w:t>
            </w:r>
          </w:p>
        </w:tc>
        <w:tc>
          <w:tcPr>
            <w:tcW w:w="23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28F365BA" w14:textId="698D6039" w:rsidR="13F118AF" w:rsidRDefault="13F118AF" w:rsidP="13F118AF">
            <w:pPr>
              <w:spacing w:after="0"/>
            </w:pP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$</w:t>
            </w:r>
            <w:r w:rsidR="00106534" w:rsidRPr="13F118AF">
              <w:rPr>
                <w:rFonts w:ascii="Calibri" w:eastAsia="Calibri" w:hAnsi="Calibri" w:cs="Calibri"/>
                <w:color w:val="000000" w:themeColor="text1"/>
              </w:rPr>
              <w:t xml:space="preserve">637,438.00 </w:t>
            </w:r>
            <w:r w:rsidRPr="13F118AF">
              <w:rPr>
                <w:rFonts w:ascii="Calibri" w:eastAsia="Calibri" w:hAnsi="Calibri" w:cs="Calibri"/>
                <w:color w:val="000000" w:themeColor="text1"/>
              </w:rPr>
              <w:t xml:space="preserve">                             </w:t>
            </w:r>
          </w:p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53C14F6E" w14:textId="0D2A8A7F" w:rsidR="13F118AF" w:rsidRDefault="13F118AF"/>
        </w:tc>
        <w:tc>
          <w:tcPr>
            <w:tcW w:w="159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79650F17" w14:textId="76AB3474" w:rsidR="13F118AF" w:rsidRDefault="13F118AF"/>
        </w:tc>
        <w:tc>
          <w:tcPr>
            <w:tcW w:w="84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bottom"/>
          </w:tcPr>
          <w:p w14:paraId="1BB88464" w14:textId="1B40A8F9" w:rsidR="13F118AF" w:rsidRDefault="13F118AF"/>
        </w:tc>
      </w:tr>
    </w:tbl>
    <w:p w14:paraId="5571853E" w14:textId="77777777" w:rsidR="002433E1" w:rsidRDefault="002433E1" w:rsidP="00FC54CE">
      <w:pPr>
        <w:pStyle w:val="NoSpacing"/>
        <w:jc w:val="both"/>
      </w:pPr>
    </w:p>
    <w:p w14:paraId="0E947D5A" w14:textId="46CE8ED6" w:rsidR="002433E1" w:rsidRDefault="13F118AF" w:rsidP="00FC54CE">
      <w:pPr>
        <w:pStyle w:val="NoSpacing"/>
        <w:jc w:val="both"/>
      </w:pPr>
      <w:r>
        <w:t xml:space="preserve">The HMIS grant is always ranked as number 1. </w:t>
      </w:r>
      <w:r w:rsidR="009208EC">
        <w:t>Veteran’s PSH</w:t>
      </w:r>
      <w:r>
        <w:t xml:space="preserve"> will straddle between Tier 1 and Tier 2. Every </w:t>
      </w:r>
      <w:r w:rsidR="009208EC">
        <w:t>Woman’s</w:t>
      </w:r>
      <w:r>
        <w:t xml:space="preserve"> Place PSH 4 will also be listed in </w:t>
      </w:r>
      <w:r w:rsidR="00106534">
        <w:t>T</w:t>
      </w:r>
      <w:r>
        <w:t xml:space="preserve">ier 2. </w:t>
      </w:r>
    </w:p>
    <w:p w14:paraId="1BE4D595" w14:textId="77777777" w:rsidR="002433E1" w:rsidRDefault="002433E1" w:rsidP="00FC54CE">
      <w:pPr>
        <w:pStyle w:val="NoSpacing"/>
        <w:jc w:val="both"/>
      </w:pPr>
    </w:p>
    <w:p w14:paraId="6FC4F218" w14:textId="260C75D1" w:rsidR="002433E1" w:rsidRDefault="002433E1" w:rsidP="00FC54CE">
      <w:pPr>
        <w:pStyle w:val="NoSpacing"/>
        <w:jc w:val="both"/>
      </w:pPr>
      <w:r>
        <w:t xml:space="preserve">The MCHCCN Review Committee is requesting the scoring sheets are overhauled to match the questions in the local applications for next </w:t>
      </w:r>
      <w:r w:rsidR="009208EC">
        <w:t>year’s</w:t>
      </w:r>
      <w:r>
        <w:t xml:space="preserve"> competition. </w:t>
      </w:r>
    </w:p>
    <w:p w14:paraId="440A3172" w14:textId="77777777" w:rsidR="002148C7" w:rsidRDefault="002148C7" w:rsidP="00FC54CE">
      <w:pPr>
        <w:pStyle w:val="NoSpacing"/>
        <w:jc w:val="both"/>
      </w:pPr>
    </w:p>
    <w:p w14:paraId="69D421CE" w14:textId="0D59B6DD" w:rsidR="002148C7" w:rsidRDefault="009022E8" w:rsidP="00FC54CE">
      <w:pPr>
        <w:pStyle w:val="NoSpacing"/>
        <w:jc w:val="both"/>
      </w:pPr>
      <w:r>
        <w:t>The MCHCCN is also eligible to apply for the Planning Grant in the amount of $40,</w:t>
      </w:r>
      <w:r w:rsidR="00C819A3">
        <w:t xml:space="preserve">859.95. </w:t>
      </w:r>
    </w:p>
    <w:p w14:paraId="45C8E306" w14:textId="5DAEB93B" w:rsidR="00447004" w:rsidRPr="00FC54CE" w:rsidRDefault="00447004" w:rsidP="00FC54CE">
      <w:pPr>
        <w:pStyle w:val="NoSpacing"/>
        <w:jc w:val="both"/>
      </w:pPr>
      <w:r>
        <w:t>If you disagree with the recommendations, the applicant may submit an appeal</w:t>
      </w:r>
      <w:r w:rsidR="002E0CBD">
        <w:t>. Please contact me if you wish to appeal, by close of business on September 11, 2023.</w:t>
      </w:r>
    </w:p>
    <w:sectPr w:rsidR="00447004" w:rsidRPr="00FC54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8288" w14:textId="77777777" w:rsidR="00794169" w:rsidRDefault="00794169" w:rsidP="0010181C">
      <w:pPr>
        <w:spacing w:after="0" w:line="240" w:lineRule="auto"/>
      </w:pPr>
      <w:r>
        <w:separator/>
      </w:r>
    </w:p>
  </w:endnote>
  <w:endnote w:type="continuationSeparator" w:id="0">
    <w:p w14:paraId="59AA8547" w14:textId="77777777" w:rsidR="00794169" w:rsidRDefault="00794169" w:rsidP="0010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D44A" w14:textId="2FED8C2B" w:rsidR="007E24FD" w:rsidRDefault="007E24FD">
    <w:pPr>
      <w:pStyle w:val="Footer"/>
    </w:pPr>
    <w:r>
      <w:t xml:space="preserve">Memo to </w:t>
    </w:r>
    <w:r w:rsidR="002433E1">
      <w:t>Steering Council</w:t>
    </w:r>
  </w:p>
  <w:p w14:paraId="4AA5EA28" w14:textId="77777777" w:rsidR="0010181C" w:rsidRDefault="00101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B195" w14:textId="77777777" w:rsidR="00794169" w:rsidRDefault="00794169" w:rsidP="0010181C">
      <w:pPr>
        <w:spacing w:after="0" w:line="240" w:lineRule="auto"/>
      </w:pPr>
      <w:r>
        <w:separator/>
      </w:r>
    </w:p>
  </w:footnote>
  <w:footnote w:type="continuationSeparator" w:id="0">
    <w:p w14:paraId="6D755C65" w14:textId="77777777" w:rsidR="00794169" w:rsidRDefault="00794169" w:rsidP="0010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74194"/>
      <w:docPartObj>
        <w:docPartGallery w:val="Page Numbers (Margins)"/>
        <w:docPartUnique/>
      </w:docPartObj>
    </w:sdtPr>
    <w:sdtEndPr/>
    <w:sdtContent>
      <w:p w14:paraId="37736873" w14:textId="77777777" w:rsidR="0010181C" w:rsidRDefault="00A54EC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9B16B13" wp14:editId="3665971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6601C" w14:textId="77777777" w:rsidR="00A54ECD" w:rsidRDefault="00A54EC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55B8A" w:rsidRPr="00C55B8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B16B13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716601C" w14:textId="77777777" w:rsidR="00A54ECD" w:rsidRDefault="00A54EC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55B8A" w:rsidRPr="00C55B8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494"/>
    <w:multiLevelType w:val="hybridMultilevel"/>
    <w:tmpl w:val="B3AC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7D8"/>
    <w:multiLevelType w:val="hybridMultilevel"/>
    <w:tmpl w:val="D516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30CE"/>
    <w:multiLevelType w:val="hybridMultilevel"/>
    <w:tmpl w:val="F85E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2323"/>
    <w:multiLevelType w:val="hybridMultilevel"/>
    <w:tmpl w:val="B696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612F"/>
    <w:multiLevelType w:val="hybridMultilevel"/>
    <w:tmpl w:val="2194843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8ED6AFD"/>
    <w:multiLevelType w:val="hybridMultilevel"/>
    <w:tmpl w:val="66BE0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D87D96"/>
    <w:multiLevelType w:val="hybridMultilevel"/>
    <w:tmpl w:val="736680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9C32D8C"/>
    <w:multiLevelType w:val="hybridMultilevel"/>
    <w:tmpl w:val="215E6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B049F"/>
    <w:multiLevelType w:val="hybridMultilevel"/>
    <w:tmpl w:val="F3D6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D5E25"/>
    <w:multiLevelType w:val="hybridMultilevel"/>
    <w:tmpl w:val="DEA02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66349D"/>
    <w:multiLevelType w:val="hybridMultilevel"/>
    <w:tmpl w:val="44CC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01A30"/>
    <w:multiLevelType w:val="hybridMultilevel"/>
    <w:tmpl w:val="ACC8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93CAA"/>
    <w:multiLevelType w:val="hybridMultilevel"/>
    <w:tmpl w:val="D23A8C44"/>
    <w:lvl w:ilvl="0" w:tplc="B2FC11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53C70"/>
    <w:multiLevelType w:val="hybridMultilevel"/>
    <w:tmpl w:val="B0A4F76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A2E28DC"/>
    <w:multiLevelType w:val="hybridMultilevel"/>
    <w:tmpl w:val="6B9A9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2223D1"/>
    <w:multiLevelType w:val="hybridMultilevel"/>
    <w:tmpl w:val="5778F7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E9011A"/>
    <w:multiLevelType w:val="hybridMultilevel"/>
    <w:tmpl w:val="E588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80F8E"/>
    <w:multiLevelType w:val="hybridMultilevel"/>
    <w:tmpl w:val="32C2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75A1B"/>
    <w:multiLevelType w:val="hybridMultilevel"/>
    <w:tmpl w:val="06844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52731F"/>
    <w:multiLevelType w:val="hybridMultilevel"/>
    <w:tmpl w:val="8B7459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15809833">
    <w:abstractNumId w:val="10"/>
  </w:num>
  <w:num w:numId="2" w16cid:durableId="240797056">
    <w:abstractNumId w:val="4"/>
  </w:num>
  <w:num w:numId="3" w16cid:durableId="172303012">
    <w:abstractNumId w:val="19"/>
  </w:num>
  <w:num w:numId="4" w16cid:durableId="1012269449">
    <w:abstractNumId w:val="14"/>
  </w:num>
  <w:num w:numId="5" w16cid:durableId="349187663">
    <w:abstractNumId w:val="8"/>
  </w:num>
  <w:num w:numId="6" w16cid:durableId="1372611072">
    <w:abstractNumId w:val="9"/>
  </w:num>
  <w:num w:numId="7" w16cid:durableId="1943301396">
    <w:abstractNumId w:val="5"/>
  </w:num>
  <w:num w:numId="8" w16cid:durableId="1608348032">
    <w:abstractNumId w:val="7"/>
  </w:num>
  <w:num w:numId="9" w16cid:durableId="516120747">
    <w:abstractNumId w:val="18"/>
  </w:num>
  <w:num w:numId="10" w16cid:durableId="409735386">
    <w:abstractNumId w:val="13"/>
  </w:num>
  <w:num w:numId="11" w16cid:durableId="1343775185">
    <w:abstractNumId w:val="11"/>
  </w:num>
  <w:num w:numId="12" w16cid:durableId="1615018558">
    <w:abstractNumId w:val="17"/>
  </w:num>
  <w:num w:numId="13" w16cid:durableId="634602209">
    <w:abstractNumId w:val="15"/>
  </w:num>
  <w:num w:numId="14" w16cid:durableId="1487746360">
    <w:abstractNumId w:val="12"/>
  </w:num>
  <w:num w:numId="15" w16cid:durableId="1701202861">
    <w:abstractNumId w:val="0"/>
  </w:num>
  <w:num w:numId="16" w16cid:durableId="512376700">
    <w:abstractNumId w:val="16"/>
  </w:num>
  <w:num w:numId="17" w16cid:durableId="1686639409">
    <w:abstractNumId w:val="1"/>
  </w:num>
  <w:num w:numId="18" w16cid:durableId="809715861">
    <w:abstractNumId w:val="2"/>
  </w:num>
  <w:num w:numId="19" w16cid:durableId="867449176">
    <w:abstractNumId w:val="6"/>
  </w:num>
  <w:num w:numId="20" w16cid:durableId="794838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B7"/>
    <w:rsid w:val="000964E6"/>
    <w:rsid w:val="0010181C"/>
    <w:rsid w:val="00106534"/>
    <w:rsid w:val="00106935"/>
    <w:rsid w:val="00152BBA"/>
    <w:rsid w:val="00153607"/>
    <w:rsid w:val="0019230A"/>
    <w:rsid w:val="001C3963"/>
    <w:rsid w:val="001E65E4"/>
    <w:rsid w:val="001F7FB7"/>
    <w:rsid w:val="002148C7"/>
    <w:rsid w:val="002433E1"/>
    <w:rsid w:val="002C22DF"/>
    <w:rsid w:val="002C6DB8"/>
    <w:rsid w:val="002E0CBD"/>
    <w:rsid w:val="00323086"/>
    <w:rsid w:val="003666A3"/>
    <w:rsid w:val="00377025"/>
    <w:rsid w:val="003872D9"/>
    <w:rsid w:val="003A729C"/>
    <w:rsid w:val="00447004"/>
    <w:rsid w:val="004910FE"/>
    <w:rsid w:val="004D43FE"/>
    <w:rsid w:val="0052159D"/>
    <w:rsid w:val="005536E8"/>
    <w:rsid w:val="005B72B2"/>
    <w:rsid w:val="00654FF1"/>
    <w:rsid w:val="006A2DD8"/>
    <w:rsid w:val="006C14DD"/>
    <w:rsid w:val="00702690"/>
    <w:rsid w:val="00794169"/>
    <w:rsid w:val="007E24FD"/>
    <w:rsid w:val="00844748"/>
    <w:rsid w:val="00891AD2"/>
    <w:rsid w:val="00892D52"/>
    <w:rsid w:val="008A2134"/>
    <w:rsid w:val="008E54B3"/>
    <w:rsid w:val="008F1659"/>
    <w:rsid w:val="009022E8"/>
    <w:rsid w:val="009208EC"/>
    <w:rsid w:val="0097410A"/>
    <w:rsid w:val="009C6B39"/>
    <w:rsid w:val="00A25781"/>
    <w:rsid w:val="00A301B8"/>
    <w:rsid w:val="00A54ECD"/>
    <w:rsid w:val="00B025C1"/>
    <w:rsid w:val="00B31F5A"/>
    <w:rsid w:val="00B834C0"/>
    <w:rsid w:val="00C55B8A"/>
    <w:rsid w:val="00C67916"/>
    <w:rsid w:val="00C819A3"/>
    <w:rsid w:val="00C86224"/>
    <w:rsid w:val="00D1563A"/>
    <w:rsid w:val="00D76CE5"/>
    <w:rsid w:val="00E03014"/>
    <w:rsid w:val="00EA41A9"/>
    <w:rsid w:val="00EA4756"/>
    <w:rsid w:val="00EF153F"/>
    <w:rsid w:val="00F12EA7"/>
    <w:rsid w:val="00F23851"/>
    <w:rsid w:val="00F66937"/>
    <w:rsid w:val="00F77372"/>
    <w:rsid w:val="00FC54CE"/>
    <w:rsid w:val="13F1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C1D863E"/>
  <w15:docId w15:val="{0AD7E2F3-3400-4A5E-B669-F0431B3D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81C"/>
  </w:style>
  <w:style w:type="paragraph" w:styleId="Footer">
    <w:name w:val="footer"/>
    <w:basedOn w:val="Normal"/>
    <w:link w:val="FooterChar"/>
    <w:uiPriority w:val="99"/>
    <w:unhideWhenUsed/>
    <w:rsid w:val="0010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81C"/>
  </w:style>
  <w:style w:type="paragraph" w:styleId="NoSpacing">
    <w:name w:val="No Spacing"/>
    <w:uiPriority w:val="1"/>
    <w:qFormat/>
    <w:rsid w:val="00EA47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0CD6-FE36-4E06-B62A-614BA2C4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Host</dc:creator>
  <cp:lastModifiedBy>Diolinda Sali</cp:lastModifiedBy>
  <cp:revision>2</cp:revision>
  <dcterms:created xsi:type="dcterms:W3CDTF">2023-09-07T14:08:00Z</dcterms:created>
  <dcterms:modified xsi:type="dcterms:W3CDTF">2023-09-07T14:08:00Z</dcterms:modified>
</cp:coreProperties>
</file>